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89C1" w14:textId="6BA51CB8" w:rsidR="005F6BB8" w:rsidRPr="00A079D3" w:rsidRDefault="005F6BB8" w:rsidP="005F6B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#105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E43EB6" w:rsidRPr="00E43EB6">
        <w:rPr>
          <w:rFonts w:ascii="Arial" w:hAnsi="Arial" w:cs="Arial"/>
          <w:b/>
          <w:sz w:val="28"/>
          <w:szCs w:val="28"/>
        </w:rPr>
        <w:t>242022</w:t>
      </w:r>
    </w:p>
    <w:p w14:paraId="6096A720" w14:textId="77777777" w:rsidR="005F6BB8" w:rsidRPr="00A079D3" w:rsidRDefault="005F6BB8" w:rsidP="005F6B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Melbourne, Australia, September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bookmarkEnd w:id="0"/>
    <w:p w14:paraId="24F4F4A6" w14:textId="77777777" w:rsidR="005F6BB8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3B8EC8A" w14:textId="5BD211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54D930D" w14:textId="6B3119DA" w:rsidR="005F6BB8" w:rsidRPr="00896C6F" w:rsidRDefault="005F6BB8" w:rsidP="005F6BB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1B39DB">
        <w:rPr>
          <w:rFonts w:ascii="Arial" w:hAnsi="Arial" w:cs="Arial"/>
          <w:lang w:val="en-US"/>
        </w:rPr>
        <w:t>15</w:t>
      </w:r>
    </w:p>
    <w:p w14:paraId="28574B77" w14:textId="5B124F7C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621F57">
        <w:rPr>
          <w:rFonts w:ascii="Arial" w:hAnsi="Arial" w:cs="Arial"/>
          <w:bCs/>
          <w:lang w:val="en-US"/>
        </w:rPr>
        <w:t>Ericsson</w:t>
      </w:r>
      <w:r w:rsidR="001B39DB" w:rsidRPr="00621F57">
        <w:rPr>
          <w:rFonts w:ascii="Arial" w:hAnsi="Arial" w:cs="Arial"/>
          <w:bCs/>
          <w:lang w:val="en-US"/>
        </w:rPr>
        <w:t>,</w:t>
      </w:r>
      <w:r w:rsidR="00EA2B18" w:rsidRPr="00621F57">
        <w:rPr>
          <w:rFonts w:ascii="Arial" w:hAnsi="Arial" w:cs="Arial"/>
          <w:bCs/>
          <w:lang w:val="en-US"/>
        </w:rPr>
        <w:t xml:space="preserve"> Nokia</w:t>
      </w:r>
      <w:r w:rsidR="00EA3B33" w:rsidRPr="00621F57">
        <w:rPr>
          <w:rFonts w:ascii="Arial" w:hAnsi="Arial" w:cs="Arial"/>
          <w:bCs/>
          <w:lang w:val="en-US"/>
        </w:rPr>
        <w:t>, Interdigital</w:t>
      </w:r>
      <w:r w:rsidR="007E73DC" w:rsidRPr="00621F57">
        <w:rPr>
          <w:rFonts w:ascii="Arial" w:hAnsi="Arial" w:cs="Arial"/>
          <w:bCs/>
          <w:lang w:val="en-US"/>
        </w:rPr>
        <w:t>, Huawei</w:t>
      </w:r>
      <w:r w:rsidR="00C8029B" w:rsidRPr="00621F57">
        <w:rPr>
          <w:rFonts w:ascii="Arial" w:hAnsi="Arial" w:cs="Arial"/>
          <w:bCs/>
          <w:lang w:val="en-US"/>
        </w:rPr>
        <w:t xml:space="preserve">, </w:t>
      </w:r>
      <w:r w:rsidR="00C8029B" w:rsidRPr="00312620">
        <w:rPr>
          <w:rFonts w:ascii="Arial" w:hAnsi="Arial" w:cs="Arial"/>
          <w:bCs/>
          <w:lang w:val="en-US"/>
        </w:rPr>
        <w:t>Samsung</w:t>
      </w:r>
      <w:r w:rsidR="00621F57" w:rsidRPr="00312620">
        <w:rPr>
          <w:rFonts w:ascii="Arial" w:hAnsi="Arial" w:cs="Arial"/>
          <w:bCs/>
          <w:lang w:val="en-US"/>
        </w:rPr>
        <w:t>,</w:t>
      </w:r>
      <w:r w:rsidR="00312620">
        <w:rPr>
          <w:rFonts w:ascii="Arial" w:hAnsi="Arial" w:cs="Arial"/>
          <w:bCs/>
          <w:lang w:val="en-US"/>
        </w:rPr>
        <w:t xml:space="preserve"> </w:t>
      </w:r>
      <w:r w:rsidR="00312620" w:rsidRPr="00312620">
        <w:rPr>
          <w:rFonts w:ascii="Arial" w:hAnsi="Arial" w:cs="Arial"/>
          <w:bCs/>
          <w:lang w:val="en-US"/>
        </w:rPr>
        <w:t>ZTE</w:t>
      </w:r>
      <w:r w:rsidR="00312620">
        <w:rPr>
          <w:rFonts w:ascii="Arial" w:hAnsi="Arial" w:cs="Arial"/>
          <w:bCs/>
          <w:lang w:val="en-US"/>
        </w:rPr>
        <w:t>, Intel Corporation</w:t>
      </w:r>
    </w:p>
    <w:p w14:paraId="37F6EC32" w14:textId="15B9E0C8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1B39DB">
        <w:rPr>
          <w:rFonts w:ascii="Arial" w:hAnsi="Arial" w:cs="Arial"/>
          <w:lang w:val="en-US"/>
        </w:rPr>
        <w:t xml:space="preserve">Status </w:t>
      </w:r>
      <w:r w:rsidR="002C7340">
        <w:rPr>
          <w:rFonts w:ascii="Arial" w:hAnsi="Arial" w:cs="Arial"/>
          <w:lang w:val="en-US"/>
        </w:rPr>
        <w:t>of</w:t>
      </w:r>
      <w:r w:rsidR="001B39DB">
        <w:rPr>
          <w:rFonts w:ascii="Arial" w:hAnsi="Arial" w:cs="Arial"/>
          <w:lang w:val="en-US"/>
        </w:rPr>
        <w:t xml:space="preserve"> work on IMT-2030 in ITU-R WP5D</w:t>
      </w:r>
    </w:p>
    <w:p w14:paraId="49066BBD" w14:textId="14D60DC2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1B39DB">
        <w:rPr>
          <w:rFonts w:ascii="Arial" w:hAnsi="Arial" w:cs="Arial"/>
          <w:bCs/>
          <w:lang w:val="en-US"/>
        </w:rPr>
        <w:tab/>
      </w:r>
      <w:r w:rsidR="001B39DB" w:rsidRPr="001B39DB">
        <w:rPr>
          <w:rFonts w:ascii="Arial" w:hAnsi="Arial" w:cs="Arial"/>
          <w:bCs/>
          <w:lang w:val="en-US"/>
        </w:rPr>
        <w:t>Information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128CD50F" w:rsidR="008143CD" w:rsidRDefault="002D6A4D" w:rsidP="008143CD">
      <w:pPr>
        <w:pStyle w:val="BodyText"/>
        <w:rPr>
          <w:lang w:val="en-US"/>
        </w:rPr>
      </w:pPr>
      <w:r>
        <w:rPr>
          <w:lang w:val="en-US"/>
        </w:rPr>
        <w:t xml:space="preserve">ITU-R WP5D has been working on </w:t>
      </w:r>
      <w:r w:rsidR="00A059E3">
        <w:rPr>
          <w:lang w:val="en-US"/>
        </w:rPr>
        <w:t xml:space="preserve">6G </w:t>
      </w:r>
      <w:r>
        <w:rPr>
          <w:lang w:val="en-US"/>
        </w:rPr>
        <w:t xml:space="preserve">since 2021 </w:t>
      </w:r>
      <w:r w:rsidR="00A059E3">
        <w:rPr>
          <w:lang w:val="en-US"/>
        </w:rPr>
        <w:t>under the ITU designation IMT-2030 and produced several deliverables in the area during the 2019-2023 study period</w:t>
      </w:r>
      <w:r w:rsidR="000609A9">
        <w:rPr>
          <w:lang w:val="en-US"/>
        </w:rPr>
        <w:t>, including:</w:t>
      </w:r>
    </w:p>
    <w:p w14:paraId="1D9D867F" w14:textId="6EA6E2B4" w:rsidR="00A059E3" w:rsidRDefault="00A059E3" w:rsidP="00A059E3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Recommendation ITU-R M.2160 [1]: “Framework” recommendation for IMT-2030.</w:t>
      </w:r>
    </w:p>
    <w:p w14:paraId="79F71C88" w14:textId="6A8C6A17" w:rsidR="00A059E3" w:rsidRDefault="00A059E3" w:rsidP="00A059E3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Report ITU-R M.2516 [2]: Study of Future technology trends.</w:t>
      </w:r>
    </w:p>
    <w:p w14:paraId="76F1A4B0" w14:textId="6287FD99" w:rsidR="00A059E3" w:rsidRDefault="00A059E3" w:rsidP="00A059E3">
      <w:pPr>
        <w:pStyle w:val="BodyText"/>
        <w:rPr>
          <w:lang w:val="en-US"/>
        </w:rPr>
      </w:pPr>
      <w:r>
        <w:rPr>
          <w:lang w:val="en-US"/>
        </w:rPr>
        <w:t>The Framework recommendation [1] contains</w:t>
      </w:r>
      <w:r w:rsidR="003026FD">
        <w:rPr>
          <w:lang w:val="en-US"/>
        </w:rPr>
        <w:t xml:space="preserve"> several important elements that define and set the scope for IMT-2030:</w:t>
      </w:r>
      <w:r>
        <w:rPr>
          <w:lang w:val="en-US"/>
        </w:rPr>
        <w:t xml:space="preserve"> </w:t>
      </w:r>
    </w:p>
    <w:p w14:paraId="5A68A7D8" w14:textId="27E998C4" w:rsidR="003026FD" w:rsidRDefault="003026FD" w:rsidP="003026FD">
      <w:pPr>
        <w:pStyle w:val="BodyText"/>
        <w:numPr>
          <w:ilvl w:val="0"/>
          <w:numId w:val="17"/>
        </w:numPr>
        <w:rPr>
          <w:lang w:val="en-US"/>
        </w:rPr>
      </w:pPr>
      <w:r w:rsidRPr="003026FD">
        <w:rPr>
          <w:b/>
          <w:bCs/>
          <w:lang w:val="en-US"/>
        </w:rPr>
        <w:t>Trends of IMT-2030</w:t>
      </w:r>
      <w:r>
        <w:rPr>
          <w:lang w:val="en-US"/>
        </w:rPr>
        <w:t xml:space="preserve">, including motivation and societal considerations, user and application trends, technology trends, envisaged frequency bands and spectrum harmonization, and feasibility in bands above </w:t>
      </w:r>
      <w:r w:rsidR="00C8029B">
        <w:rPr>
          <w:lang w:val="en-US"/>
        </w:rPr>
        <w:t xml:space="preserve">100 </w:t>
      </w:r>
      <w:r>
        <w:rPr>
          <w:lang w:val="en-US"/>
        </w:rPr>
        <w:t>G</w:t>
      </w:r>
      <w:r w:rsidR="000609A9">
        <w:rPr>
          <w:lang w:val="en-US"/>
        </w:rPr>
        <w:t>H</w:t>
      </w:r>
      <w:r>
        <w:rPr>
          <w:lang w:val="en-US"/>
        </w:rPr>
        <w:t xml:space="preserve">z.  </w:t>
      </w:r>
    </w:p>
    <w:p w14:paraId="0C5D518A" w14:textId="701CD471" w:rsidR="003026FD" w:rsidRPr="003026FD" w:rsidRDefault="003026FD" w:rsidP="003026FD">
      <w:pPr>
        <w:pStyle w:val="BodyText"/>
        <w:numPr>
          <w:ilvl w:val="0"/>
          <w:numId w:val="17"/>
        </w:numPr>
        <w:rPr>
          <w:b/>
          <w:bCs/>
          <w:lang w:val="en-US"/>
        </w:rPr>
      </w:pPr>
      <w:r w:rsidRPr="003026FD">
        <w:rPr>
          <w:b/>
          <w:bCs/>
        </w:rPr>
        <w:t>Usage scenarios of IMT-2030</w:t>
      </w:r>
      <w:r>
        <w:t>, exp</w:t>
      </w:r>
      <w:r w:rsidRPr="003026FD">
        <w:t xml:space="preserve">anding on the usage </w:t>
      </w:r>
      <w:r w:rsidR="000609A9" w:rsidRPr="003026FD">
        <w:t>scenarios</w:t>
      </w:r>
      <w:r w:rsidRPr="003026FD">
        <w:t xml:space="preserve"> from IMT-2020</w:t>
      </w:r>
      <w:r w:rsidR="009A0633">
        <w:t xml:space="preserve"> and new </w:t>
      </w:r>
      <w:r w:rsidR="009A0633" w:rsidRPr="003026FD">
        <w:t>usage scenarios</w:t>
      </w:r>
      <w:r w:rsidRPr="003026FD">
        <w:t>:</w:t>
      </w:r>
    </w:p>
    <w:p w14:paraId="4122999E" w14:textId="1FDE4289" w:rsidR="003026FD" w:rsidRPr="003026FD" w:rsidRDefault="003026FD" w:rsidP="003026FD">
      <w:pPr>
        <w:pStyle w:val="BodyText"/>
        <w:numPr>
          <w:ilvl w:val="1"/>
          <w:numId w:val="17"/>
        </w:numPr>
        <w:rPr>
          <w:lang w:val="en-US"/>
        </w:rPr>
      </w:pPr>
      <w:r w:rsidRPr="003026FD">
        <w:rPr>
          <w:lang w:val="en-US"/>
        </w:rPr>
        <w:t xml:space="preserve">Immersive </w:t>
      </w:r>
      <w:r w:rsidR="00C8029B">
        <w:rPr>
          <w:lang w:val="en-US"/>
        </w:rPr>
        <w:t xml:space="preserve">Communication </w:t>
      </w:r>
      <w:r>
        <w:rPr>
          <w:lang w:val="en-US"/>
        </w:rPr>
        <w:t>(</w:t>
      </w:r>
      <w:r w:rsidR="00171F0A">
        <w:rPr>
          <w:lang w:val="en-US"/>
        </w:rPr>
        <w:t xml:space="preserve">expanding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>)</w:t>
      </w:r>
    </w:p>
    <w:p w14:paraId="1A986190" w14:textId="2CAB377F" w:rsidR="003026FD" w:rsidRPr="003026FD" w:rsidRDefault="003026FD" w:rsidP="003026FD">
      <w:pPr>
        <w:pStyle w:val="BodyText"/>
        <w:numPr>
          <w:ilvl w:val="1"/>
          <w:numId w:val="17"/>
        </w:numPr>
        <w:rPr>
          <w:lang w:val="en-US"/>
        </w:rPr>
      </w:pPr>
      <w:r w:rsidRPr="003026FD">
        <w:rPr>
          <w:lang w:val="en-US"/>
        </w:rPr>
        <w:t>Hyper Reliable and Low-Latency Communication</w:t>
      </w:r>
      <w:r>
        <w:rPr>
          <w:lang w:val="en-US"/>
        </w:rPr>
        <w:t xml:space="preserve"> (</w:t>
      </w:r>
      <w:r w:rsidR="00171F0A">
        <w:rPr>
          <w:lang w:val="en-US"/>
        </w:rPr>
        <w:t xml:space="preserve">expanding </w:t>
      </w:r>
      <w:r>
        <w:rPr>
          <w:lang w:val="en-US"/>
        </w:rPr>
        <w:t>URLLC)</w:t>
      </w:r>
    </w:p>
    <w:p w14:paraId="14B7604F" w14:textId="30FCE3EA" w:rsidR="003026FD" w:rsidRPr="003026FD" w:rsidRDefault="003026FD" w:rsidP="003026FD">
      <w:pPr>
        <w:pStyle w:val="BodyText"/>
        <w:numPr>
          <w:ilvl w:val="1"/>
          <w:numId w:val="17"/>
        </w:numPr>
        <w:rPr>
          <w:lang w:val="en-US"/>
        </w:rPr>
      </w:pPr>
      <w:r w:rsidRPr="003026FD">
        <w:rPr>
          <w:lang w:val="en-US"/>
        </w:rPr>
        <w:t xml:space="preserve">Massive </w:t>
      </w:r>
      <w:r w:rsidR="00C8029B">
        <w:rPr>
          <w:lang w:val="en-US"/>
        </w:rPr>
        <w:t>C</w:t>
      </w:r>
      <w:r w:rsidR="00C8029B" w:rsidRPr="003026FD">
        <w:rPr>
          <w:lang w:val="en-US"/>
        </w:rPr>
        <w:t>ommunication</w:t>
      </w:r>
      <w:r w:rsidR="00C8029B">
        <w:rPr>
          <w:lang w:val="en-US"/>
        </w:rPr>
        <w:t xml:space="preserve"> </w:t>
      </w:r>
      <w:r>
        <w:rPr>
          <w:lang w:val="en-US"/>
        </w:rPr>
        <w:t>(</w:t>
      </w:r>
      <w:r w:rsidR="00171F0A">
        <w:rPr>
          <w:lang w:val="en-US"/>
        </w:rPr>
        <w:t xml:space="preserve">expanding </w:t>
      </w:r>
      <w:proofErr w:type="spellStart"/>
      <w:r>
        <w:rPr>
          <w:lang w:val="en-US"/>
        </w:rPr>
        <w:t>mMTC</w:t>
      </w:r>
      <w:proofErr w:type="spellEnd"/>
      <w:r>
        <w:rPr>
          <w:lang w:val="en-US"/>
        </w:rPr>
        <w:t>)</w:t>
      </w:r>
    </w:p>
    <w:p w14:paraId="50A5C137" w14:textId="70C05D33" w:rsidR="003026FD" w:rsidRDefault="003026FD" w:rsidP="003026FD">
      <w:pPr>
        <w:pStyle w:val="BodyText"/>
        <w:numPr>
          <w:ilvl w:val="1"/>
          <w:numId w:val="17"/>
        </w:numPr>
        <w:rPr>
          <w:lang w:val="en-US"/>
        </w:rPr>
      </w:pPr>
      <w:r w:rsidRPr="003026FD">
        <w:rPr>
          <w:lang w:val="en-US"/>
        </w:rPr>
        <w:t xml:space="preserve">Ubiquitous </w:t>
      </w:r>
      <w:r w:rsidR="00C8029B">
        <w:rPr>
          <w:lang w:val="en-US"/>
        </w:rPr>
        <w:t>C</w:t>
      </w:r>
      <w:r w:rsidR="00C8029B" w:rsidRPr="003026FD">
        <w:rPr>
          <w:lang w:val="en-US"/>
        </w:rPr>
        <w:t>onnectivity</w:t>
      </w:r>
    </w:p>
    <w:p w14:paraId="1097BBF5" w14:textId="77777777" w:rsidR="003026FD" w:rsidRPr="003026FD" w:rsidRDefault="003026FD" w:rsidP="003026FD">
      <w:pPr>
        <w:pStyle w:val="BodyText"/>
        <w:numPr>
          <w:ilvl w:val="1"/>
          <w:numId w:val="17"/>
        </w:numPr>
        <w:rPr>
          <w:lang w:val="en-US"/>
        </w:rPr>
      </w:pPr>
      <w:r w:rsidRPr="003026FD">
        <w:rPr>
          <w:lang w:val="en-US"/>
        </w:rPr>
        <w:t>Artificial Intelligence and Communication</w:t>
      </w:r>
    </w:p>
    <w:p w14:paraId="362EA866" w14:textId="28125416" w:rsidR="003026FD" w:rsidRDefault="003026FD" w:rsidP="003026FD">
      <w:pPr>
        <w:pStyle w:val="BodyText"/>
        <w:numPr>
          <w:ilvl w:val="1"/>
          <w:numId w:val="17"/>
        </w:numPr>
        <w:rPr>
          <w:lang w:val="en-US"/>
        </w:rPr>
      </w:pPr>
      <w:r w:rsidRPr="003026FD">
        <w:rPr>
          <w:lang w:val="en-US"/>
        </w:rPr>
        <w:t>Integrated Sensing and Communication</w:t>
      </w:r>
    </w:p>
    <w:p w14:paraId="4F6E84C0" w14:textId="5BC04044" w:rsidR="003026FD" w:rsidRDefault="003026FD" w:rsidP="003026FD">
      <w:pPr>
        <w:pStyle w:val="BodyText"/>
        <w:numPr>
          <w:ilvl w:val="0"/>
          <w:numId w:val="17"/>
        </w:numPr>
        <w:rPr>
          <w:lang w:val="en-US"/>
        </w:rPr>
      </w:pPr>
      <w:r w:rsidRPr="00B40C56">
        <w:rPr>
          <w:b/>
          <w:bCs/>
          <w:lang w:val="en-US"/>
        </w:rPr>
        <w:t>Capabilities of IMT-2030</w:t>
      </w:r>
      <w:r w:rsidR="00B40C56">
        <w:rPr>
          <w:lang w:val="en-US"/>
        </w:rPr>
        <w:t xml:space="preserve"> </w:t>
      </w:r>
      <w:r w:rsidR="000609A9">
        <w:rPr>
          <w:lang w:val="en-US"/>
        </w:rPr>
        <w:t>comprises</w:t>
      </w:r>
      <w:r w:rsidR="00B40C56">
        <w:rPr>
          <w:lang w:val="en-US"/>
        </w:rPr>
        <w:t xml:space="preserve"> a total of 15 capabilities, where many are enhanced capabilities from IMT</w:t>
      </w:r>
      <w:r w:rsidR="000609A9">
        <w:rPr>
          <w:lang w:val="en-US"/>
        </w:rPr>
        <w:noBreakHyphen/>
      </w:r>
      <w:r w:rsidR="00B40C56">
        <w:rPr>
          <w:lang w:val="en-US"/>
        </w:rPr>
        <w:t xml:space="preserve">2020, while others are new capabilities to support the </w:t>
      </w:r>
      <w:r w:rsidR="00C8029B">
        <w:rPr>
          <w:lang w:val="en-US"/>
        </w:rPr>
        <w:t xml:space="preserve">expanded and </w:t>
      </w:r>
      <w:r w:rsidR="005A5ED2">
        <w:rPr>
          <w:lang w:val="en-US"/>
        </w:rPr>
        <w:t xml:space="preserve">new </w:t>
      </w:r>
      <w:r w:rsidR="00B40C56">
        <w:rPr>
          <w:lang w:val="en-US"/>
        </w:rPr>
        <w:t>Usage scenarios.</w:t>
      </w:r>
    </w:p>
    <w:p w14:paraId="3856FBBA" w14:textId="56D5B1D5" w:rsidR="00B40C56" w:rsidRPr="003026FD" w:rsidRDefault="00B40C56" w:rsidP="00B40C56">
      <w:pPr>
        <w:pStyle w:val="BodyText"/>
        <w:rPr>
          <w:lang w:val="en-US"/>
        </w:rPr>
      </w:pPr>
      <w:r>
        <w:rPr>
          <w:lang w:val="en-US"/>
        </w:rPr>
        <w:t xml:space="preserve">The Usage scenarios and related Capabilities form </w:t>
      </w:r>
      <w:r w:rsidR="000609A9">
        <w:rPr>
          <w:lang w:val="en-US"/>
        </w:rPr>
        <w:t>a</w:t>
      </w:r>
      <w:r>
        <w:rPr>
          <w:lang w:val="en-US"/>
        </w:rPr>
        <w:t xml:space="preserve"> basis for the continuing work in the 2023-2027 study period for defining Technical Performance Requirements (TPR</w:t>
      </w:r>
      <w:r w:rsidR="00C8029B">
        <w:rPr>
          <w:lang w:val="en-US"/>
        </w:rPr>
        <w:t>s</w:t>
      </w:r>
      <w:r>
        <w:rPr>
          <w:lang w:val="en-US"/>
        </w:rPr>
        <w:t>) for IMT-2030 and the related Evaluation methodologies and Test environments.</w:t>
      </w:r>
      <w:r w:rsidR="00292DDE">
        <w:rPr>
          <w:lang w:val="en-US"/>
        </w:rPr>
        <w:t xml:space="preserve"> This paper gives an overview of the </w:t>
      </w:r>
      <w:r w:rsidR="001919FF">
        <w:rPr>
          <w:lang w:val="en-US"/>
        </w:rPr>
        <w:t xml:space="preserve">ongoing WP5D </w:t>
      </w:r>
      <w:r w:rsidR="00292DDE">
        <w:rPr>
          <w:lang w:val="en-US"/>
        </w:rPr>
        <w:t>work and status of the planned deliverables.</w:t>
      </w:r>
      <w:r w:rsidR="00DB5CA5">
        <w:rPr>
          <w:lang w:val="en-US"/>
        </w:rPr>
        <w:t xml:space="preserve"> Further information on the IMT-2030 process and deliverables can be found at the ITU-R WP 5D’s </w:t>
      </w:r>
      <w:hyperlink r:id="rId11" w:history="1">
        <w:r w:rsidR="00DB5CA5" w:rsidRPr="00DB5CA5">
          <w:rPr>
            <w:rStyle w:val="Hyperlink"/>
            <w:lang w:val="en-US"/>
          </w:rPr>
          <w:t>IMT-2030 website</w:t>
        </w:r>
      </w:hyperlink>
      <w:r w:rsidR="00DB5CA5">
        <w:rPr>
          <w:lang w:val="en-US"/>
        </w:rPr>
        <w:t xml:space="preserve">. </w:t>
      </w:r>
    </w:p>
    <w:p w14:paraId="3B216E31" w14:textId="14C19338" w:rsidR="00D2274A" w:rsidRDefault="002C7340" w:rsidP="00B445A4">
      <w:pPr>
        <w:pStyle w:val="Heading1"/>
        <w:rPr>
          <w:lang w:val="en-US"/>
        </w:rPr>
      </w:pPr>
      <w:r>
        <w:rPr>
          <w:lang w:val="en-US"/>
        </w:rPr>
        <w:t>Technical performance Requirements</w:t>
      </w:r>
      <w:r w:rsidR="00551262">
        <w:rPr>
          <w:lang w:val="en-US"/>
        </w:rPr>
        <w:t xml:space="preserve"> </w:t>
      </w:r>
    </w:p>
    <w:p w14:paraId="1719FE86" w14:textId="46639473" w:rsidR="00892C15" w:rsidRDefault="00B40C56" w:rsidP="002C7340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8A45EB">
        <w:rPr>
          <w:lang w:val="en-US"/>
        </w:rPr>
        <w:t xml:space="preserve">new </w:t>
      </w:r>
      <w:r>
        <w:rPr>
          <w:lang w:val="en-US"/>
        </w:rPr>
        <w:t>TPR</w:t>
      </w:r>
      <w:r w:rsidR="00A36C00">
        <w:rPr>
          <w:lang w:val="en-US"/>
        </w:rPr>
        <w:t>s</w:t>
      </w:r>
      <w:r>
        <w:rPr>
          <w:lang w:val="en-US"/>
        </w:rPr>
        <w:t xml:space="preserve"> report for IMT-2030 corresponds to </w:t>
      </w:r>
      <w:r w:rsidRPr="00B40C56">
        <w:rPr>
          <w:lang w:val="en-US"/>
        </w:rPr>
        <w:t>Report ITU-R M.2410</w:t>
      </w:r>
      <w:r>
        <w:rPr>
          <w:lang w:val="en-US"/>
        </w:rPr>
        <w:t xml:space="preserve"> [3] for IMT-</w:t>
      </w:r>
      <w:r w:rsidR="008A45EB">
        <w:rPr>
          <w:lang w:val="en-US"/>
        </w:rPr>
        <w:t>2020 and</w:t>
      </w:r>
      <w:r>
        <w:rPr>
          <w:lang w:val="en-US"/>
        </w:rPr>
        <w:t xml:space="preserve"> will define a set of </w:t>
      </w:r>
      <w:r w:rsidR="00BF34F1" w:rsidRPr="008A45EB">
        <w:rPr>
          <w:i/>
          <w:iCs/>
          <w:lang w:val="en-US"/>
        </w:rPr>
        <w:t>minimum technical performance requirements</w:t>
      </w:r>
      <w:r w:rsidR="00BF34F1">
        <w:rPr>
          <w:lang w:val="en-US"/>
        </w:rPr>
        <w:t xml:space="preserve"> for</w:t>
      </w:r>
      <w:r w:rsidR="00BF34F1" w:rsidRPr="00BF34F1">
        <w:rPr>
          <w:lang w:val="en-US"/>
        </w:rPr>
        <w:t xml:space="preserve"> IMT-20</w:t>
      </w:r>
      <w:r w:rsidR="00BF34F1">
        <w:rPr>
          <w:lang w:val="en-US"/>
        </w:rPr>
        <w:t>30</w:t>
      </w:r>
      <w:r w:rsidR="00BF34F1" w:rsidRPr="00BF34F1">
        <w:rPr>
          <w:lang w:val="en-US"/>
        </w:rPr>
        <w:t xml:space="preserve"> candidate radio interface technologies</w:t>
      </w:r>
      <w:r w:rsidR="00BF34F1">
        <w:rPr>
          <w:lang w:val="en-US"/>
        </w:rPr>
        <w:t xml:space="preserve">. Work on the report has been ongoing for two meetings during 2024 and substantial technical input was made by many administrations and other members of ITU-R WP5D. </w:t>
      </w:r>
    </w:p>
    <w:p w14:paraId="75DFCEAA" w14:textId="56C106CC" w:rsidR="002C7340" w:rsidRDefault="008A45EB" w:rsidP="002C7340">
      <w:pPr>
        <w:pStyle w:val="BodyText"/>
        <w:rPr>
          <w:lang w:val="en-US"/>
        </w:rPr>
      </w:pPr>
      <w:r>
        <w:rPr>
          <w:lang w:val="en-US"/>
        </w:rPr>
        <w:t xml:space="preserve">All inputs </w:t>
      </w:r>
      <w:r w:rsidR="00892C15">
        <w:rPr>
          <w:lang w:val="en-US"/>
        </w:rPr>
        <w:t xml:space="preserve">received </w:t>
      </w:r>
      <w:r>
        <w:rPr>
          <w:lang w:val="en-US"/>
        </w:rPr>
        <w:t xml:space="preserve">are merged into a Working document [6], which forms a basis for further discussions and agreements. </w:t>
      </w:r>
      <w:r w:rsidR="00F857A8">
        <w:rPr>
          <w:lang w:val="en-US"/>
        </w:rPr>
        <w:t>It should be noted</w:t>
      </w:r>
      <w:r>
        <w:rPr>
          <w:lang w:val="en-US"/>
        </w:rPr>
        <w:t xml:space="preserve"> that the WP5D process is different from 3GPP, in that input contributions are not treated separately in terms of decisions and way forward. This is instead done </w:t>
      </w:r>
      <w:r w:rsidR="00892C15">
        <w:rPr>
          <w:lang w:val="en-US"/>
        </w:rPr>
        <w:t>through a</w:t>
      </w:r>
      <w:r>
        <w:rPr>
          <w:lang w:val="en-US"/>
        </w:rPr>
        <w:t xml:space="preserve"> merged working document, where each contributed </w:t>
      </w:r>
      <w:r w:rsidR="00892C15">
        <w:rPr>
          <w:lang w:val="en-US"/>
        </w:rPr>
        <w:t xml:space="preserve">part </w:t>
      </w:r>
      <w:r>
        <w:rPr>
          <w:lang w:val="en-US"/>
        </w:rPr>
        <w:t>is discussed, cleaned up</w:t>
      </w:r>
      <w:r w:rsidR="00892C15">
        <w:rPr>
          <w:lang w:val="en-US"/>
        </w:rPr>
        <w:t xml:space="preserve">, often </w:t>
      </w:r>
      <w:r>
        <w:rPr>
          <w:lang w:val="en-US"/>
        </w:rPr>
        <w:t>merged</w:t>
      </w:r>
      <w:r w:rsidR="00F857A8">
        <w:rPr>
          <w:lang w:val="en-US"/>
        </w:rPr>
        <w:t>,</w:t>
      </w:r>
      <w:r w:rsidR="00892C15">
        <w:rPr>
          <w:lang w:val="en-US"/>
        </w:rPr>
        <w:t xml:space="preserve"> and sometimes removed</w:t>
      </w:r>
      <w:r>
        <w:rPr>
          <w:lang w:val="en-US"/>
        </w:rPr>
        <w:t xml:space="preserve">. Only the final text is agreed, while </w:t>
      </w:r>
      <w:r w:rsidR="00892C15">
        <w:rPr>
          <w:lang w:val="en-US"/>
        </w:rPr>
        <w:t xml:space="preserve">intermediate </w:t>
      </w:r>
      <w:r>
        <w:rPr>
          <w:lang w:val="en-US"/>
        </w:rPr>
        <w:t>text in the working document is just working text based on inputs, with Editor’s notes explaining the status.</w:t>
      </w:r>
    </w:p>
    <w:p w14:paraId="6CE2AC4A" w14:textId="05E96104" w:rsidR="008A45EB" w:rsidRDefault="008A45EB" w:rsidP="002C7340">
      <w:pPr>
        <w:pStyle w:val="BodyText"/>
        <w:rPr>
          <w:lang w:val="en-US"/>
        </w:rPr>
      </w:pPr>
      <w:r>
        <w:rPr>
          <w:lang w:val="en-US"/>
        </w:rPr>
        <w:t>The present working document</w:t>
      </w:r>
      <w:r w:rsidR="00892C15">
        <w:rPr>
          <w:lang w:val="en-US"/>
        </w:rPr>
        <w:t xml:space="preserve"> [6]</w:t>
      </w:r>
      <w:r>
        <w:rPr>
          <w:lang w:val="en-US"/>
        </w:rPr>
        <w:t xml:space="preserve"> contains </w:t>
      </w:r>
      <w:r w:rsidR="00F44BCF">
        <w:rPr>
          <w:lang w:val="en-US"/>
        </w:rPr>
        <w:t xml:space="preserve">the </w:t>
      </w:r>
      <w:r>
        <w:rPr>
          <w:lang w:val="en-US"/>
        </w:rPr>
        <w:t xml:space="preserve">following </w:t>
      </w:r>
      <w:r w:rsidR="00A36C00">
        <w:rPr>
          <w:lang w:val="en-US"/>
        </w:rPr>
        <w:t xml:space="preserve">candidate </w:t>
      </w:r>
      <w:r>
        <w:rPr>
          <w:lang w:val="en-US"/>
        </w:rPr>
        <w:t>TPR</w:t>
      </w:r>
      <w:r w:rsidR="00F44BCF">
        <w:rPr>
          <w:lang w:val="en-US"/>
        </w:rPr>
        <w:t>s</w:t>
      </w:r>
      <w:r>
        <w:rPr>
          <w:lang w:val="en-US"/>
        </w:rPr>
        <w:t>, based on inputs received</w:t>
      </w:r>
      <w:r w:rsidR="007E73DC">
        <w:rPr>
          <w:lang w:val="en-US"/>
        </w:rPr>
        <w:t xml:space="preserve"> until </w:t>
      </w:r>
      <w:r w:rsidR="00621F57">
        <w:rPr>
          <w:lang w:val="en-US"/>
        </w:rPr>
        <w:t xml:space="preserve">the </w:t>
      </w:r>
      <w:r w:rsidR="007E73DC">
        <w:rPr>
          <w:lang w:val="en-US"/>
        </w:rPr>
        <w:t>W</w:t>
      </w:r>
      <w:r w:rsidR="00041153">
        <w:rPr>
          <w:rFonts w:hint="eastAsia"/>
          <w:lang w:val="en-US" w:eastAsia="zh-CN"/>
        </w:rPr>
        <w:t>P</w:t>
      </w:r>
      <w:r w:rsidR="00041153">
        <w:rPr>
          <w:lang w:val="en-US"/>
        </w:rPr>
        <w:t xml:space="preserve"> </w:t>
      </w:r>
      <w:r w:rsidR="007E73DC">
        <w:rPr>
          <w:lang w:val="en-US"/>
        </w:rPr>
        <w:t>5D#46 meeting in June 2024. As such, they are subject to further addition/deletion/modification in WP</w:t>
      </w:r>
      <w:r w:rsidR="00041153">
        <w:rPr>
          <w:lang w:val="en-US"/>
        </w:rPr>
        <w:t xml:space="preserve"> </w:t>
      </w:r>
      <w:r w:rsidR="007E73DC">
        <w:rPr>
          <w:lang w:val="en-US"/>
        </w:rPr>
        <w:t>5D October 2024 and subsequent meetings.</w:t>
      </w:r>
      <w:r w:rsidR="0000403C">
        <w:rPr>
          <w:lang w:val="en-US"/>
        </w:rPr>
        <w:t xml:space="preserve"> This</w:t>
      </w:r>
      <w:r w:rsidR="00EA3B33">
        <w:rPr>
          <w:lang w:val="en-US"/>
        </w:rPr>
        <w:t xml:space="preserve"> concern</w:t>
      </w:r>
      <w:r w:rsidR="0000403C">
        <w:rPr>
          <w:lang w:val="en-US"/>
        </w:rPr>
        <w:t xml:space="preserve">s </w:t>
      </w:r>
      <w:proofErr w:type="gramStart"/>
      <w:r w:rsidR="0000403C">
        <w:rPr>
          <w:lang w:val="en-US"/>
        </w:rPr>
        <w:t>in particular</w:t>
      </w:r>
      <w:r w:rsidR="00EA3B33">
        <w:rPr>
          <w:lang w:val="en-US"/>
        </w:rPr>
        <w:t xml:space="preserve"> </w:t>
      </w:r>
      <w:r w:rsidR="0000403C">
        <w:rPr>
          <w:lang w:val="en-US"/>
        </w:rPr>
        <w:t>any</w:t>
      </w:r>
      <w:proofErr w:type="gramEnd"/>
      <w:r w:rsidR="0000403C">
        <w:rPr>
          <w:lang w:val="en-US"/>
        </w:rPr>
        <w:t xml:space="preserve"> </w:t>
      </w:r>
      <w:r w:rsidR="00EA3B33">
        <w:rPr>
          <w:lang w:val="en-US"/>
        </w:rPr>
        <w:t xml:space="preserve">new TPR </w:t>
      </w:r>
      <w:r w:rsidR="00EA54F7">
        <w:rPr>
          <w:lang w:val="en-US"/>
        </w:rPr>
        <w:t xml:space="preserve">for </w:t>
      </w:r>
      <w:r w:rsidR="0000403C">
        <w:rPr>
          <w:lang w:val="en-US"/>
        </w:rPr>
        <w:t xml:space="preserve">the </w:t>
      </w:r>
      <w:r w:rsidR="009A0633">
        <w:rPr>
          <w:lang w:val="en-US"/>
        </w:rPr>
        <w:t>new</w:t>
      </w:r>
      <w:r w:rsidR="0000403C">
        <w:rPr>
          <w:lang w:val="en-US"/>
        </w:rPr>
        <w:t xml:space="preserve"> </w:t>
      </w:r>
      <w:r w:rsidR="00EA54F7">
        <w:rPr>
          <w:lang w:val="en-US"/>
        </w:rPr>
        <w:t>IMT-2030</w:t>
      </w:r>
      <w:r w:rsidR="0000403C">
        <w:rPr>
          <w:lang w:val="en-US"/>
        </w:rPr>
        <w:t xml:space="preserve"> usage scenarios</w:t>
      </w:r>
      <w:r w:rsidR="00EA3B33">
        <w:rPr>
          <w:lang w:val="en-US"/>
        </w:rPr>
        <w:t>.</w:t>
      </w:r>
    </w:p>
    <w:p w14:paraId="49AB53F4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</w:t>
      </w:r>
      <w:r w:rsidRPr="008A45EB">
        <w:rPr>
          <w:b/>
          <w:bCs/>
          <w:sz w:val="18"/>
          <w:szCs w:val="18"/>
          <w:lang w:val="en-US"/>
        </w:rPr>
        <w:tab/>
        <w:t>Peak data rate</w:t>
      </w:r>
      <w:r w:rsidRPr="008A45EB">
        <w:rPr>
          <w:b/>
          <w:bCs/>
          <w:sz w:val="18"/>
          <w:szCs w:val="18"/>
          <w:lang w:val="en-US"/>
        </w:rPr>
        <w:tab/>
      </w:r>
    </w:p>
    <w:p w14:paraId="4CC08D82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lastRenderedPageBreak/>
        <w:t>4.2</w:t>
      </w:r>
      <w:r w:rsidRPr="008A45EB">
        <w:rPr>
          <w:b/>
          <w:bCs/>
          <w:sz w:val="18"/>
          <w:szCs w:val="18"/>
          <w:lang w:val="en-US"/>
        </w:rPr>
        <w:tab/>
        <w:t>User experienced data rate</w:t>
      </w:r>
      <w:r w:rsidRPr="008A45EB">
        <w:rPr>
          <w:b/>
          <w:bCs/>
          <w:sz w:val="18"/>
          <w:szCs w:val="18"/>
          <w:lang w:val="en-US"/>
        </w:rPr>
        <w:tab/>
      </w:r>
    </w:p>
    <w:p w14:paraId="12019436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4.3</w:t>
      </w:r>
      <w:r w:rsidRPr="008A45EB">
        <w:rPr>
          <w:b/>
          <w:bCs/>
          <w:sz w:val="18"/>
          <w:szCs w:val="18"/>
          <w:lang w:val="en-US"/>
        </w:rPr>
        <w:tab/>
        <w:t>Spectrum Efficiency</w:t>
      </w:r>
    </w:p>
    <w:p w14:paraId="619FA93E" w14:textId="77777777" w:rsidR="008A45EB" w:rsidRPr="008A45EB" w:rsidRDefault="008A45EB" w:rsidP="008A45EB">
      <w:pPr>
        <w:pStyle w:val="BodyText"/>
        <w:spacing w:after="60"/>
        <w:ind w:left="144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4.3.1</w:t>
      </w:r>
      <w:r w:rsidRPr="008A45EB">
        <w:rPr>
          <w:b/>
          <w:bCs/>
          <w:sz w:val="18"/>
          <w:szCs w:val="18"/>
          <w:lang w:val="en-US"/>
        </w:rPr>
        <w:tab/>
        <w:t>Peak Spectrum Efficiency</w:t>
      </w:r>
    </w:p>
    <w:p w14:paraId="452C9042" w14:textId="77777777" w:rsidR="008A45EB" w:rsidRPr="008A45EB" w:rsidRDefault="008A45EB" w:rsidP="008A45EB">
      <w:pPr>
        <w:pStyle w:val="BodyText"/>
        <w:spacing w:after="60"/>
        <w:ind w:left="144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 xml:space="preserve">4.3.2 </w:t>
      </w:r>
      <w:r w:rsidRPr="008A45EB">
        <w:rPr>
          <w:b/>
          <w:bCs/>
          <w:sz w:val="18"/>
          <w:szCs w:val="18"/>
          <w:lang w:val="en-US"/>
        </w:rPr>
        <w:tab/>
        <w:t>Average spectrum efficiency</w:t>
      </w:r>
      <w:r w:rsidRPr="008A45EB">
        <w:rPr>
          <w:b/>
          <w:bCs/>
          <w:sz w:val="18"/>
          <w:szCs w:val="18"/>
          <w:lang w:val="en-US"/>
        </w:rPr>
        <w:tab/>
      </w:r>
    </w:p>
    <w:p w14:paraId="59A6FA8F" w14:textId="77777777" w:rsidR="008A45EB" w:rsidRPr="008A45EB" w:rsidRDefault="008A45EB" w:rsidP="008A45EB">
      <w:pPr>
        <w:pStyle w:val="BodyText"/>
        <w:spacing w:after="60"/>
        <w:ind w:left="144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4.3.3</w:t>
      </w:r>
      <w:r w:rsidRPr="008A45EB">
        <w:rPr>
          <w:b/>
          <w:bCs/>
          <w:sz w:val="18"/>
          <w:szCs w:val="18"/>
          <w:lang w:val="en-US"/>
        </w:rPr>
        <w:tab/>
        <w:t>5th percentile user spectrum efficiency</w:t>
      </w:r>
    </w:p>
    <w:p w14:paraId="75E71DD5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4.4</w:t>
      </w:r>
      <w:r w:rsidRPr="008A45EB">
        <w:rPr>
          <w:b/>
          <w:bCs/>
          <w:sz w:val="18"/>
          <w:szCs w:val="18"/>
          <w:lang w:val="en-US"/>
        </w:rPr>
        <w:tab/>
        <w:t>Area traffic capacity</w:t>
      </w:r>
    </w:p>
    <w:p w14:paraId="3E706512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4.5</w:t>
      </w:r>
      <w:r w:rsidRPr="008A45EB">
        <w:rPr>
          <w:b/>
          <w:bCs/>
          <w:sz w:val="18"/>
          <w:szCs w:val="18"/>
          <w:lang w:val="en-US"/>
        </w:rPr>
        <w:tab/>
        <w:t>Connection Density</w:t>
      </w:r>
    </w:p>
    <w:p w14:paraId="78E24491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4.6</w:t>
      </w:r>
      <w:r w:rsidRPr="008A45EB">
        <w:rPr>
          <w:b/>
          <w:bCs/>
          <w:sz w:val="18"/>
          <w:szCs w:val="18"/>
          <w:lang w:val="en-US"/>
        </w:rPr>
        <w:tab/>
        <w:t>Mobility</w:t>
      </w:r>
    </w:p>
    <w:p w14:paraId="1B6D777F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4.6.1</w:t>
      </w:r>
      <w:r w:rsidRPr="008A45EB">
        <w:rPr>
          <w:b/>
          <w:bCs/>
          <w:sz w:val="18"/>
          <w:szCs w:val="18"/>
          <w:lang w:val="en-US"/>
        </w:rPr>
        <w:tab/>
        <w:t>Mobility interruption time</w:t>
      </w:r>
    </w:p>
    <w:p w14:paraId="518E10B0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4.7</w:t>
      </w:r>
      <w:r w:rsidRPr="008A45EB">
        <w:rPr>
          <w:b/>
          <w:bCs/>
          <w:sz w:val="18"/>
          <w:szCs w:val="18"/>
          <w:lang w:val="en-US"/>
        </w:rPr>
        <w:tab/>
        <w:t>Latency</w:t>
      </w:r>
    </w:p>
    <w:p w14:paraId="522309B3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4.7.1</w:t>
      </w:r>
      <w:r w:rsidRPr="008A45EB">
        <w:rPr>
          <w:b/>
          <w:bCs/>
          <w:sz w:val="18"/>
          <w:szCs w:val="18"/>
          <w:lang w:val="en-US"/>
        </w:rPr>
        <w:tab/>
        <w:t>User plane latency</w:t>
      </w:r>
    </w:p>
    <w:p w14:paraId="25380919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4.7.2</w:t>
      </w:r>
      <w:r w:rsidRPr="008A45EB">
        <w:rPr>
          <w:b/>
          <w:bCs/>
          <w:sz w:val="18"/>
          <w:szCs w:val="18"/>
          <w:lang w:val="en-US"/>
        </w:rPr>
        <w:tab/>
        <w:t>Control plane latency</w:t>
      </w:r>
    </w:p>
    <w:p w14:paraId="71C1BB3A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4.8</w:t>
      </w:r>
      <w:r w:rsidRPr="008A45EB">
        <w:rPr>
          <w:b/>
          <w:bCs/>
          <w:sz w:val="18"/>
          <w:szCs w:val="18"/>
          <w:lang w:val="en-US"/>
        </w:rPr>
        <w:tab/>
        <w:t>Reliability</w:t>
      </w:r>
    </w:p>
    <w:p w14:paraId="30389449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4.X</w:t>
      </w:r>
      <w:r w:rsidRPr="008A45EB">
        <w:rPr>
          <w:b/>
          <w:bCs/>
          <w:sz w:val="18"/>
          <w:szCs w:val="18"/>
          <w:lang w:val="en-US"/>
        </w:rPr>
        <w:tab/>
        <w:t xml:space="preserve">Joint requirement on data rate, </w:t>
      </w:r>
      <w:proofErr w:type="gramStart"/>
      <w:r w:rsidRPr="008A45EB">
        <w:rPr>
          <w:b/>
          <w:bCs/>
          <w:sz w:val="18"/>
          <w:szCs w:val="18"/>
          <w:lang w:val="en-US"/>
        </w:rPr>
        <w:t>latency</w:t>
      </w:r>
      <w:proofErr w:type="gramEnd"/>
      <w:r w:rsidRPr="008A45EB">
        <w:rPr>
          <w:b/>
          <w:bCs/>
          <w:sz w:val="18"/>
          <w:szCs w:val="18"/>
          <w:lang w:val="en-US"/>
        </w:rPr>
        <w:t xml:space="preserve"> and reliability</w:t>
      </w:r>
    </w:p>
    <w:p w14:paraId="059D83DF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4.9</w:t>
      </w:r>
      <w:r w:rsidRPr="008A45EB">
        <w:rPr>
          <w:b/>
          <w:bCs/>
          <w:sz w:val="18"/>
          <w:szCs w:val="18"/>
          <w:lang w:val="en-US"/>
        </w:rPr>
        <w:tab/>
        <w:t>Coverage</w:t>
      </w:r>
    </w:p>
    <w:p w14:paraId="06D8C334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4.10</w:t>
      </w:r>
      <w:r w:rsidRPr="008A45EB">
        <w:rPr>
          <w:b/>
          <w:bCs/>
          <w:sz w:val="18"/>
          <w:szCs w:val="18"/>
          <w:lang w:val="en-US"/>
        </w:rPr>
        <w:tab/>
        <w:t>Positioning</w:t>
      </w:r>
    </w:p>
    <w:p w14:paraId="44C5566A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4.11</w:t>
      </w:r>
      <w:r w:rsidRPr="008A45EB">
        <w:rPr>
          <w:b/>
          <w:bCs/>
          <w:sz w:val="18"/>
          <w:szCs w:val="18"/>
          <w:lang w:val="en-US"/>
        </w:rPr>
        <w:tab/>
        <w:t>Bandwidth</w:t>
      </w:r>
    </w:p>
    <w:p w14:paraId="61910702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4.12</w:t>
      </w:r>
      <w:r w:rsidRPr="008A45EB">
        <w:rPr>
          <w:b/>
          <w:bCs/>
          <w:sz w:val="18"/>
          <w:szCs w:val="18"/>
          <w:lang w:val="en-US"/>
        </w:rPr>
        <w:tab/>
        <w:t>Sensing-related capabilities</w:t>
      </w:r>
    </w:p>
    <w:p w14:paraId="13C6C427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4.13</w:t>
      </w:r>
      <w:r w:rsidRPr="008A45EB">
        <w:rPr>
          <w:b/>
          <w:bCs/>
          <w:sz w:val="18"/>
          <w:szCs w:val="18"/>
          <w:lang w:val="en-US"/>
        </w:rPr>
        <w:tab/>
        <w:t>AI-related capabilities</w:t>
      </w:r>
    </w:p>
    <w:p w14:paraId="4B5FB946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4.14</w:t>
      </w:r>
      <w:r w:rsidRPr="008A45EB">
        <w:rPr>
          <w:b/>
          <w:bCs/>
          <w:sz w:val="18"/>
          <w:szCs w:val="18"/>
          <w:lang w:val="en-US"/>
        </w:rPr>
        <w:tab/>
        <w:t>Sustainability</w:t>
      </w:r>
      <w:r w:rsidRPr="008A45EB">
        <w:rPr>
          <w:b/>
          <w:bCs/>
          <w:sz w:val="18"/>
          <w:szCs w:val="18"/>
          <w:lang w:val="en-US"/>
        </w:rPr>
        <w:tab/>
      </w:r>
    </w:p>
    <w:p w14:paraId="3253999B" w14:textId="2CBEF3D6" w:rsidR="008A45EB" w:rsidRPr="008A45EB" w:rsidRDefault="008A45EB" w:rsidP="008A45EB">
      <w:pPr>
        <w:pStyle w:val="BodyText"/>
        <w:spacing w:after="60"/>
        <w:ind w:left="144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</w:t>
      </w:r>
      <w:r w:rsidR="006C316A">
        <w:rPr>
          <w:b/>
          <w:bCs/>
          <w:sz w:val="18"/>
          <w:szCs w:val="18"/>
          <w:lang w:val="en-US"/>
        </w:rPr>
        <w:t>14</w:t>
      </w:r>
      <w:r w:rsidRPr="008A45EB">
        <w:rPr>
          <w:b/>
          <w:bCs/>
          <w:sz w:val="18"/>
          <w:szCs w:val="18"/>
          <w:lang w:val="en-US"/>
        </w:rPr>
        <w:t>.1</w:t>
      </w:r>
      <w:r w:rsidRPr="008A45EB">
        <w:rPr>
          <w:b/>
          <w:bCs/>
          <w:sz w:val="18"/>
          <w:szCs w:val="18"/>
          <w:lang w:val="en-US"/>
        </w:rPr>
        <w:tab/>
        <w:t>[Energy consumption]</w:t>
      </w:r>
    </w:p>
    <w:p w14:paraId="4C38ADB8" w14:textId="349D1DE7" w:rsidR="008A45EB" w:rsidRPr="008A45EB" w:rsidRDefault="008A45EB" w:rsidP="008A45EB">
      <w:pPr>
        <w:pStyle w:val="BodyText"/>
        <w:spacing w:after="60"/>
        <w:ind w:left="144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</w:t>
      </w:r>
      <w:r w:rsidR="006C316A">
        <w:rPr>
          <w:b/>
          <w:bCs/>
          <w:sz w:val="18"/>
          <w:szCs w:val="18"/>
          <w:lang w:val="en-US"/>
        </w:rPr>
        <w:t>14</w:t>
      </w:r>
      <w:r w:rsidRPr="008A45EB">
        <w:rPr>
          <w:b/>
          <w:bCs/>
          <w:sz w:val="18"/>
          <w:szCs w:val="18"/>
          <w:lang w:val="en-US"/>
        </w:rPr>
        <w:t>.2</w:t>
      </w:r>
      <w:r w:rsidRPr="008A45EB">
        <w:rPr>
          <w:b/>
          <w:bCs/>
          <w:sz w:val="18"/>
          <w:szCs w:val="18"/>
          <w:lang w:val="en-US"/>
        </w:rPr>
        <w:tab/>
        <w:t>Energy efficiency</w:t>
      </w:r>
    </w:p>
    <w:p w14:paraId="356D4097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4.15</w:t>
      </w:r>
      <w:r w:rsidRPr="008A45EB">
        <w:rPr>
          <w:b/>
          <w:bCs/>
          <w:sz w:val="18"/>
          <w:szCs w:val="18"/>
          <w:lang w:val="en-US"/>
        </w:rPr>
        <w:tab/>
        <w:t>Security and resilience</w:t>
      </w:r>
    </w:p>
    <w:p w14:paraId="3B53A50A" w14:textId="77777777" w:rsidR="008A45EB" w:rsidRPr="008A45EB" w:rsidRDefault="008A45EB" w:rsidP="008A45EB">
      <w:pPr>
        <w:pStyle w:val="BodyText"/>
        <w:spacing w:after="60"/>
        <w:ind w:left="720"/>
        <w:rPr>
          <w:sz w:val="18"/>
          <w:szCs w:val="18"/>
        </w:rPr>
      </w:pPr>
      <w:r w:rsidRPr="008A45EB">
        <w:rPr>
          <w:b/>
          <w:bCs/>
          <w:sz w:val="18"/>
          <w:szCs w:val="18"/>
          <w:lang w:val="en-US"/>
        </w:rPr>
        <w:t>4.16</w:t>
      </w:r>
      <w:r w:rsidRPr="008A45EB">
        <w:rPr>
          <w:b/>
          <w:bCs/>
          <w:sz w:val="18"/>
          <w:szCs w:val="18"/>
          <w:lang w:val="en-US"/>
        </w:rPr>
        <w:tab/>
        <w:t>Interoperability</w:t>
      </w:r>
    </w:p>
    <w:p w14:paraId="6EC2BB6C" w14:textId="77777777" w:rsidR="00CC25B9" w:rsidRDefault="00CC25B9" w:rsidP="008A45EB">
      <w:pPr>
        <w:pStyle w:val="BodyText"/>
        <w:rPr>
          <w:lang w:val="en-US"/>
        </w:rPr>
      </w:pPr>
    </w:p>
    <w:p w14:paraId="4E267B38" w14:textId="0A90F380" w:rsidR="00653906" w:rsidRDefault="00CC25B9" w:rsidP="008A45EB">
      <w:pPr>
        <w:pStyle w:val="BodyText"/>
        <w:rPr>
          <w:lang w:val="en-US"/>
        </w:rPr>
      </w:pPr>
      <w:r>
        <w:rPr>
          <w:lang w:val="en-US"/>
        </w:rPr>
        <w:t>Most of the TPR</w:t>
      </w:r>
      <w:r w:rsidR="00892C15">
        <w:rPr>
          <w:lang w:val="en-US"/>
        </w:rPr>
        <w:t>s</w:t>
      </w:r>
      <w:r>
        <w:rPr>
          <w:lang w:val="en-US"/>
        </w:rPr>
        <w:t xml:space="preserve"> listed have a definition</w:t>
      </w:r>
      <w:r w:rsidR="00F21BB2">
        <w:rPr>
          <w:lang w:val="en-US"/>
        </w:rPr>
        <w:t xml:space="preserve"> in the working </w:t>
      </w:r>
      <w:r w:rsidR="00F9128E">
        <w:rPr>
          <w:lang w:val="en-US"/>
        </w:rPr>
        <w:t>document</w:t>
      </w:r>
      <w:r>
        <w:rPr>
          <w:lang w:val="en-US"/>
        </w:rPr>
        <w:t xml:space="preserve">, often based on </w:t>
      </w:r>
      <w:r w:rsidR="00892C15">
        <w:rPr>
          <w:lang w:val="en-US"/>
        </w:rPr>
        <w:t>the</w:t>
      </w:r>
      <w:r>
        <w:rPr>
          <w:lang w:val="en-US"/>
        </w:rPr>
        <w:t xml:space="preserve"> legacy IMT-2020 definition from [3] or new text from the Framework recommendation [1]. </w:t>
      </w:r>
      <w:r w:rsidR="00A5634C">
        <w:rPr>
          <w:lang w:val="en-US"/>
        </w:rPr>
        <w:t>Any proposal</w:t>
      </w:r>
      <w:r w:rsidR="005A5ED2">
        <w:rPr>
          <w:lang w:val="en-US"/>
        </w:rPr>
        <w:t>s</w:t>
      </w:r>
      <w:r w:rsidR="00A5634C">
        <w:rPr>
          <w:lang w:val="en-US"/>
        </w:rPr>
        <w:t xml:space="preserve"> or discussion of </w:t>
      </w:r>
      <w:r w:rsidR="00A36C00">
        <w:rPr>
          <w:lang w:val="en-US"/>
        </w:rPr>
        <w:t xml:space="preserve">target </w:t>
      </w:r>
      <w:r w:rsidR="005A5ED2">
        <w:rPr>
          <w:lang w:val="en-US"/>
        </w:rPr>
        <w:t xml:space="preserve">values </w:t>
      </w:r>
      <w:r w:rsidR="00A5634C">
        <w:rPr>
          <w:lang w:val="en-US"/>
        </w:rPr>
        <w:t>for the TPR</w:t>
      </w:r>
      <w:r w:rsidR="005A5ED2">
        <w:rPr>
          <w:lang w:val="en-US"/>
        </w:rPr>
        <w:t>s</w:t>
      </w:r>
      <w:r w:rsidR="00A5634C">
        <w:rPr>
          <w:lang w:val="en-US"/>
        </w:rPr>
        <w:t xml:space="preserve"> are not </w:t>
      </w:r>
      <w:r w:rsidR="000609A9">
        <w:rPr>
          <w:lang w:val="en-US"/>
        </w:rPr>
        <w:t xml:space="preserve">kept </w:t>
      </w:r>
      <w:r w:rsidR="00A5634C">
        <w:rPr>
          <w:lang w:val="en-US"/>
        </w:rPr>
        <w:t>in the</w:t>
      </w:r>
      <w:r w:rsidR="000609A9">
        <w:rPr>
          <w:lang w:val="en-US"/>
        </w:rPr>
        <w:t xml:space="preserve"> body </w:t>
      </w:r>
      <w:r w:rsidR="00A5634C">
        <w:rPr>
          <w:lang w:val="en-US"/>
        </w:rPr>
        <w:t xml:space="preserve">text but are </w:t>
      </w:r>
      <w:r w:rsidR="00F21BB2">
        <w:rPr>
          <w:lang w:val="en-US"/>
        </w:rPr>
        <w:t xml:space="preserve">instead </w:t>
      </w:r>
      <w:r w:rsidR="00A5634C">
        <w:rPr>
          <w:lang w:val="en-US"/>
        </w:rPr>
        <w:t>moved to an Annex.</w:t>
      </w:r>
    </w:p>
    <w:p w14:paraId="4A54AF17" w14:textId="76317AC6" w:rsidR="008A45EB" w:rsidRDefault="008A45EB" w:rsidP="008A45EB">
      <w:pPr>
        <w:pStyle w:val="BodyText"/>
        <w:rPr>
          <w:lang w:val="en-US"/>
        </w:rPr>
      </w:pPr>
      <w:r>
        <w:rPr>
          <w:lang w:val="en-US"/>
        </w:rPr>
        <w:t>There are three Annexes to the Working document:</w:t>
      </w:r>
    </w:p>
    <w:p w14:paraId="53FDB714" w14:textId="347F17EA" w:rsidR="008A45EB" w:rsidRDefault="00653906" w:rsidP="008A45EB">
      <w:pPr>
        <w:pStyle w:val="BodyText"/>
        <w:numPr>
          <w:ilvl w:val="0"/>
          <w:numId w:val="21"/>
        </w:numPr>
        <w:rPr>
          <w:lang w:val="en-US"/>
        </w:rPr>
      </w:pPr>
      <w:r>
        <w:rPr>
          <w:b/>
          <w:bCs/>
          <w:lang w:val="en-US"/>
        </w:rPr>
        <w:t>ANNEX</w:t>
      </w:r>
      <w:r w:rsidRPr="00653906">
        <w:rPr>
          <w:b/>
          <w:bCs/>
          <w:lang w:val="en-US"/>
        </w:rPr>
        <w:t xml:space="preserve"> 1:</w:t>
      </w:r>
      <w:r>
        <w:rPr>
          <w:lang w:val="en-US"/>
        </w:rPr>
        <w:t xml:space="preserve"> </w:t>
      </w:r>
      <w:r w:rsidRPr="00653906">
        <w:rPr>
          <w:lang w:val="en-US"/>
        </w:rPr>
        <w:t>Mapping between capabilities (TPRs) and usage scenarios</w:t>
      </w:r>
    </w:p>
    <w:p w14:paraId="623C5F8B" w14:textId="6B05BDF6" w:rsidR="00653906" w:rsidRDefault="00653906" w:rsidP="008A45EB">
      <w:pPr>
        <w:pStyle w:val="BodyText"/>
        <w:numPr>
          <w:ilvl w:val="0"/>
          <w:numId w:val="21"/>
        </w:numPr>
        <w:rPr>
          <w:lang w:val="en-US"/>
        </w:rPr>
      </w:pPr>
      <w:r w:rsidRPr="00653906">
        <w:rPr>
          <w:b/>
          <w:bCs/>
          <w:lang w:val="en-US"/>
        </w:rPr>
        <w:t>ANNEX 2</w:t>
      </w:r>
      <w:r>
        <w:rPr>
          <w:lang w:val="en-US"/>
        </w:rPr>
        <w:t xml:space="preserve">: </w:t>
      </w:r>
      <w:r w:rsidRPr="00653906">
        <w:rPr>
          <w:lang w:val="en-US"/>
        </w:rPr>
        <w:t>Additional Text from contributions to WP 5D #45</w:t>
      </w:r>
    </w:p>
    <w:p w14:paraId="5AA55F31" w14:textId="7F488E0E" w:rsidR="00653906" w:rsidRPr="00653906" w:rsidRDefault="00653906" w:rsidP="003A67E4">
      <w:pPr>
        <w:pStyle w:val="BodyText"/>
        <w:numPr>
          <w:ilvl w:val="0"/>
          <w:numId w:val="21"/>
        </w:numPr>
        <w:rPr>
          <w:lang w:val="en-US"/>
        </w:rPr>
      </w:pPr>
      <w:r w:rsidRPr="00653906">
        <w:rPr>
          <w:b/>
          <w:bCs/>
          <w:lang w:val="en-US"/>
        </w:rPr>
        <w:t>ANNEX 3</w:t>
      </w:r>
      <w:r w:rsidRPr="00653906">
        <w:rPr>
          <w:lang w:val="en-US"/>
        </w:rPr>
        <w:t>:</w:t>
      </w:r>
      <w:r>
        <w:rPr>
          <w:lang w:val="en-US"/>
        </w:rPr>
        <w:t xml:space="preserve"> </w:t>
      </w:r>
      <w:r w:rsidRPr="00653906">
        <w:rPr>
          <w:lang w:val="en-US"/>
        </w:rPr>
        <w:t>Inputs on minimum requirements for technical performance</w:t>
      </w:r>
    </w:p>
    <w:p w14:paraId="264175EE" w14:textId="7B308286" w:rsidR="00A5634C" w:rsidRDefault="00A5634C" w:rsidP="002C7340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D670C8">
        <w:rPr>
          <w:lang w:val="en-US"/>
        </w:rPr>
        <w:t xml:space="preserve">WP5D </w:t>
      </w:r>
      <w:r w:rsidR="00316A16">
        <w:rPr>
          <w:lang w:val="en-US"/>
        </w:rPr>
        <w:t xml:space="preserve">work </w:t>
      </w:r>
      <w:r>
        <w:rPr>
          <w:lang w:val="en-US"/>
        </w:rPr>
        <w:t>plan calls for completion of the report by February 2026. Important milestones</w:t>
      </w:r>
      <w:r w:rsidR="00354248">
        <w:rPr>
          <w:lang w:val="en-US"/>
        </w:rPr>
        <w:t xml:space="preserve"> (marked </w:t>
      </w:r>
      <w:r w:rsidR="00354248" w:rsidRPr="00A40BC8">
        <w:rPr>
          <w:highlight w:val="yellow"/>
          <w:lang w:val="en-US"/>
        </w:rPr>
        <w:t>yellow</w:t>
      </w:r>
      <w:r w:rsidR="00354248">
        <w:rPr>
          <w:lang w:val="en-US"/>
        </w:rPr>
        <w:t>)</w:t>
      </w:r>
      <w:r>
        <w:rPr>
          <w:lang w:val="en-US"/>
        </w:rPr>
        <w:t xml:space="preserve"> for the continued work are identified below (from [7]):</w:t>
      </w:r>
    </w:p>
    <w:p w14:paraId="5D1ACD50" w14:textId="14CE9161" w:rsidR="00A5634C" w:rsidRDefault="00A5634C" w:rsidP="00A5634C">
      <w:pPr>
        <w:pStyle w:val="BodyText"/>
        <w:numPr>
          <w:ilvl w:val="0"/>
          <w:numId w:val="22"/>
        </w:numPr>
        <w:tabs>
          <w:tab w:val="left" w:pos="709"/>
          <w:tab w:val="left" w:pos="2127"/>
          <w:tab w:val="left" w:pos="3402"/>
        </w:tabs>
        <w:rPr>
          <w:lang w:val="en-US"/>
        </w:rPr>
      </w:pPr>
      <w:r>
        <w:rPr>
          <w:lang w:val="en-US"/>
        </w:rPr>
        <w:t>October 2024</w:t>
      </w:r>
      <w:r>
        <w:rPr>
          <w:lang w:val="en-US"/>
        </w:rPr>
        <w:tab/>
        <w:t>(WP5D#47)</w:t>
      </w:r>
      <w:r>
        <w:rPr>
          <w:lang w:val="en-US"/>
        </w:rPr>
        <w:tab/>
      </w:r>
      <w:r w:rsidR="00316A16">
        <w:rPr>
          <w:lang w:val="en-US"/>
        </w:rPr>
        <w:t xml:space="preserve">Continue to </w:t>
      </w:r>
      <w:r w:rsidR="00AF631D">
        <w:rPr>
          <w:lang w:val="en-US"/>
        </w:rPr>
        <w:t>d</w:t>
      </w:r>
      <w:r w:rsidR="00AF631D" w:rsidRPr="00A5634C">
        <w:rPr>
          <w:lang w:val="en-US"/>
        </w:rPr>
        <w:t xml:space="preserve">iscuss </w:t>
      </w:r>
      <w:r w:rsidRPr="00A5634C">
        <w:rPr>
          <w:lang w:val="en-US"/>
        </w:rPr>
        <w:t>candidate TPR</w:t>
      </w:r>
      <w:r w:rsidR="00A36C00">
        <w:rPr>
          <w:lang w:val="en-US"/>
        </w:rPr>
        <w:t>s</w:t>
      </w:r>
      <w:r w:rsidR="00B53B63">
        <w:rPr>
          <w:lang w:val="en-US"/>
        </w:rPr>
        <w:t>;</w:t>
      </w:r>
      <w:r w:rsidRPr="00A5634C">
        <w:rPr>
          <w:lang w:val="en-US"/>
        </w:rPr>
        <w:t xml:space="preserve"> </w:t>
      </w:r>
      <w:r w:rsidRPr="00A5634C">
        <w:rPr>
          <w:highlight w:val="yellow"/>
          <w:lang w:val="en-US"/>
        </w:rPr>
        <w:t xml:space="preserve">Send external </w:t>
      </w:r>
      <w:r w:rsidRPr="00AF631D">
        <w:rPr>
          <w:highlight w:val="yellow"/>
          <w:lang w:val="en-US"/>
        </w:rPr>
        <w:t>LS</w:t>
      </w:r>
      <w:r w:rsidR="00AF631D" w:rsidRPr="00B53B63">
        <w:rPr>
          <w:highlight w:val="yellow"/>
          <w:lang w:val="en-US"/>
        </w:rPr>
        <w:t xml:space="preserve"> (if needed)</w:t>
      </w:r>
      <w:r w:rsidR="00EE7FE4">
        <w:rPr>
          <w:lang w:val="en-US"/>
        </w:rPr>
        <w:t>.</w:t>
      </w:r>
    </w:p>
    <w:p w14:paraId="7E62BC10" w14:textId="08EC3838" w:rsidR="00A5634C" w:rsidRPr="00A5634C" w:rsidRDefault="00A5634C" w:rsidP="00A5634C">
      <w:pPr>
        <w:pStyle w:val="BodyText"/>
        <w:numPr>
          <w:ilvl w:val="0"/>
          <w:numId w:val="22"/>
        </w:numPr>
        <w:tabs>
          <w:tab w:val="left" w:pos="709"/>
          <w:tab w:val="left" w:pos="2127"/>
          <w:tab w:val="left" w:pos="3402"/>
        </w:tabs>
        <w:rPr>
          <w:lang w:val="en-US"/>
        </w:rPr>
      </w:pPr>
      <w:r>
        <w:rPr>
          <w:lang w:val="en-US"/>
        </w:rPr>
        <w:t>February 2025</w:t>
      </w:r>
      <w:r>
        <w:rPr>
          <w:lang w:val="en-US"/>
        </w:rPr>
        <w:tab/>
        <w:t>(WP5D</w:t>
      </w:r>
      <w:r w:rsidRPr="00A5634C">
        <w:rPr>
          <w:lang w:val="en-US"/>
        </w:rPr>
        <w:t>#48</w:t>
      </w:r>
      <w:r>
        <w:rPr>
          <w:lang w:val="en-US"/>
        </w:rPr>
        <w:t>)</w:t>
      </w:r>
      <w:r>
        <w:rPr>
          <w:lang w:val="en-US"/>
        </w:rPr>
        <w:tab/>
      </w:r>
      <w:r w:rsidRPr="00A5634C">
        <w:rPr>
          <w:lang w:val="en-US"/>
        </w:rPr>
        <w:t>Preliminar</w:t>
      </w:r>
      <w:r w:rsidR="005A5ED2">
        <w:rPr>
          <w:lang w:val="en-US"/>
        </w:rPr>
        <w:t>il</w:t>
      </w:r>
      <w:r w:rsidRPr="00A5634C">
        <w:rPr>
          <w:lang w:val="en-US"/>
        </w:rPr>
        <w:t xml:space="preserve">y agree </w:t>
      </w:r>
      <w:r w:rsidR="00A36C00">
        <w:rPr>
          <w:lang w:val="en-US"/>
        </w:rPr>
        <w:t xml:space="preserve">on the </w:t>
      </w:r>
      <w:r w:rsidRPr="00A5634C">
        <w:rPr>
          <w:lang w:val="en-US"/>
        </w:rPr>
        <w:t>list of TPR</w:t>
      </w:r>
      <w:r w:rsidR="00A36C00">
        <w:rPr>
          <w:lang w:val="en-US"/>
        </w:rPr>
        <w:t>s</w:t>
      </w:r>
      <w:r w:rsidR="00B53B63">
        <w:rPr>
          <w:lang w:val="en-US"/>
        </w:rPr>
        <w:t>;</w:t>
      </w:r>
      <w:r w:rsidRPr="00A5634C">
        <w:rPr>
          <w:lang w:val="en-US"/>
        </w:rPr>
        <w:t xml:space="preserve"> </w:t>
      </w:r>
      <w:r>
        <w:rPr>
          <w:lang w:val="en-US"/>
        </w:rPr>
        <w:t xml:space="preserve">Send </w:t>
      </w:r>
      <w:r w:rsidR="00F9128E">
        <w:rPr>
          <w:lang w:val="en-US"/>
        </w:rPr>
        <w:t>e</w:t>
      </w:r>
      <w:r w:rsidRPr="00A5634C">
        <w:rPr>
          <w:lang w:val="en-US"/>
        </w:rPr>
        <w:t>xternal LS</w:t>
      </w:r>
      <w:r w:rsidR="00AF631D">
        <w:rPr>
          <w:lang w:val="en-US"/>
        </w:rPr>
        <w:t xml:space="preserve"> (if needed)</w:t>
      </w:r>
      <w:r w:rsidR="00EE7FE4">
        <w:rPr>
          <w:lang w:val="en-US"/>
        </w:rPr>
        <w:t>.</w:t>
      </w:r>
    </w:p>
    <w:p w14:paraId="2CD5BCE2" w14:textId="43ECC77E" w:rsidR="00A5634C" w:rsidRPr="00A5634C" w:rsidRDefault="00A5634C" w:rsidP="00A5634C">
      <w:pPr>
        <w:pStyle w:val="BodyText"/>
        <w:numPr>
          <w:ilvl w:val="0"/>
          <w:numId w:val="22"/>
        </w:numPr>
        <w:tabs>
          <w:tab w:val="left" w:pos="709"/>
          <w:tab w:val="left" w:pos="2127"/>
          <w:tab w:val="left" w:pos="3402"/>
        </w:tabs>
        <w:rPr>
          <w:lang w:val="en-US"/>
        </w:rPr>
      </w:pPr>
      <w:r>
        <w:rPr>
          <w:lang w:val="en-US"/>
        </w:rPr>
        <w:t>June 2025</w:t>
      </w:r>
      <w:r>
        <w:rPr>
          <w:lang w:val="en-US"/>
        </w:rPr>
        <w:tab/>
        <w:t>(WP5D</w:t>
      </w:r>
      <w:r w:rsidRPr="00A5634C">
        <w:rPr>
          <w:lang w:val="en-US"/>
        </w:rPr>
        <w:t>#49</w:t>
      </w:r>
      <w:r w:rsidR="00892C15">
        <w:rPr>
          <w:lang w:val="en-US"/>
        </w:rPr>
        <w:t>)</w:t>
      </w:r>
      <w:r>
        <w:rPr>
          <w:lang w:val="en-US"/>
        </w:rPr>
        <w:tab/>
      </w:r>
      <w:r w:rsidRPr="00A5634C">
        <w:rPr>
          <w:lang w:val="en-US"/>
        </w:rPr>
        <w:t xml:space="preserve">Review </w:t>
      </w:r>
      <w:r w:rsidR="00AF631D">
        <w:rPr>
          <w:lang w:val="en-US"/>
        </w:rPr>
        <w:t xml:space="preserve">and update </w:t>
      </w:r>
      <w:r w:rsidR="00A36C00">
        <w:rPr>
          <w:lang w:val="en-US"/>
        </w:rPr>
        <w:t xml:space="preserve">the </w:t>
      </w:r>
      <w:r w:rsidRPr="00A5634C">
        <w:rPr>
          <w:lang w:val="en-US"/>
        </w:rPr>
        <w:t>TPR list</w:t>
      </w:r>
      <w:r w:rsidR="00B53B63">
        <w:rPr>
          <w:lang w:val="en-US"/>
        </w:rPr>
        <w:t>;</w:t>
      </w:r>
      <w:r w:rsidRPr="00A5634C">
        <w:rPr>
          <w:lang w:val="en-US"/>
        </w:rPr>
        <w:t xml:space="preserve"> </w:t>
      </w:r>
      <w:r w:rsidR="00AF631D">
        <w:rPr>
          <w:highlight w:val="yellow"/>
          <w:lang w:val="en-US"/>
        </w:rPr>
        <w:t>S</w:t>
      </w:r>
      <w:r w:rsidRPr="00A5634C">
        <w:rPr>
          <w:highlight w:val="yellow"/>
          <w:lang w:val="en-US"/>
        </w:rPr>
        <w:t>tart discuss</w:t>
      </w:r>
      <w:r>
        <w:rPr>
          <w:highlight w:val="yellow"/>
          <w:lang w:val="en-US"/>
        </w:rPr>
        <w:t>ion of</w:t>
      </w:r>
      <w:r w:rsidRPr="00A5634C">
        <w:rPr>
          <w:highlight w:val="yellow"/>
          <w:lang w:val="en-US"/>
        </w:rPr>
        <w:t xml:space="preserve"> target values</w:t>
      </w:r>
      <w:r w:rsidR="00EE7FE4">
        <w:rPr>
          <w:lang w:val="en-US"/>
        </w:rPr>
        <w:t>.</w:t>
      </w:r>
    </w:p>
    <w:p w14:paraId="6F9AD4BD" w14:textId="49267C5C" w:rsidR="00A5634C" w:rsidRDefault="00A5634C" w:rsidP="00A5634C">
      <w:pPr>
        <w:pStyle w:val="BodyText"/>
        <w:numPr>
          <w:ilvl w:val="0"/>
          <w:numId w:val="22"/>
        </w:numPr>
        <w:tabs>
          <w:tab w:val="left" w:pos="709"/>
          <w:tab w:val="left" w:pos="2127"/>
          <w:tab w:val="left" w:pos="3402"/>
        </w:tabs>
        <w:rPr>
          <w:lang w:val="en-US"/>
        </w:rPr>
      </w:pPr>
      <w:r>
        <w:rPr>
          <w:lang w:val="en-US"/>
        </w:rPr>
        <w:t>October 2025</w:t>
      </w:r>
      <w:r>
        <w:rPr>
          <w:lang w:val="en-US"/>
        </w:rPr>
        <w:tab/>
        <w:t>(WP5D</w:t>
      </w:r>
      <w:r w:rsidRPr="00A5634C">
        <w:rPr>
          <w:lang w:val="en-US"/>
        </w:rPr>
        <w:t>#50</w:t>
      </w:r>
      <w:r>
        <w:rPr>
          <w:lang w:val="en-US"/>
        </w:rPr>
        <w:t>)</w:t>
      </w:r>
      <w:r>
        <w:rPr>
          <w:lang w:val="en-US"/>
        </w:rPr>
        <w:tab/>
      </w:r>
      <w:r w:rsidRPr="00A5634C">
        <w:rPr>
          <w:lang w:val="en-US"/>
        </w:rPr>
        <w:t xml:space="preserve">Agree </w:t>
      </w:r>
      <w:r w:rsidR="00A36C00">
        <w:rPr>
          <w:lang w:val="en-US"/>
        </w:rPr>
        <w:t xml:space="preserve">on the </w:t>
      </w:r>
      <w:r w:rsidRPr="00A5634C">
        <w:rPr>
          <w:lang w:val="en-US"/>
        </w:rPr>
        <w:t>list of TPR</w:t>
      </w:r>
      <w:r w:rsidR="00A36C00">
        <w:rPr>
          <w:lang w:val="en-US"/>
        </w:rPr>
        <w:t>s</w:t>
      </w:r>
      <w:r w:rsidR="00B53B63">
        <w:rPr>
          <w:lang w:val="en-US"/>
        </w:rPr>
        <w:t>;</w:t>
      </w:r>
      <w:r w:rsidRPr="00A5634C">
        <w:rPr>
          <w:lang w:val="en-US"/>
        </w:rPr>
        <w:t xml:space="preserve"> Preliminar</w:t>
      </w:r>
      <w:r w:rsidR="005A5ED2">
        <w:rPr>
          <w:lang w:val="en-US"/>
        </w:rPr>
        <w:t>il</w:t>
      </w:r>
      <w:r w:rsidRPr="00A5634C">
        <w:rPr>
          <w:lang w:val="en-US"/>
        </w:rPr>
        <w:t xml:space="preserve">y agree </w:t>
      </w:r>
      <w:r w:rsidR="00A36C00">
        <w:rPr>
          <w:lang w:val="en-US"/>
        </w:rPr>
        <w:t xml:space="preserve">on target </w:t>
      </w:r>
      <w:r w:rsidRPr="00A5634C">
        <w:rPr>
          <w:lang w:val="en-US"/>
        </w:rPr>
        <w:t>values</w:t>
      </w:r>
      <w:r w:rsidR="00EE7FE4">
        <w:rPr>
          <w:lang w:val="en-US"/>
        </w:rPr>
        <w:t>.</w:t>
      </w:r>
    </w:p>
    <w:p w14:paraId="3887D12E" w14:textId="19EB9685" w:rsidR="00A5634C" w:rsidRDefault="00A5634C" w:rsidP="00A5634C">
      <w:pPr>
        <w:pStyle w:val="BodyText"/>
        <w:numPr>
          <w:ilvl w:val="0"/>
          <w:numId w:val="22"/>
        </w:numPr>
        <w:tabs>
          <w:tab w:val="left" w:pos="709"/>
          <w:tab w:val="left" w:pos="2127"/>
          <w:tab w:val="left" w:pos="3402"/>
        </w:tabs>
        <w:rPr>
          <w:lang w:val="en-US"/>
        </w:rPr>
      </w:pPr>
      <w:r>
        <w:rPr>
          <w:lang w:val="en-US"/>
        </w:rPr>
        <w:t>February 2026</w:t>
      </w:r>
      <w:r>
        <w:rPr>
          <w:lang w:val="en-US"/>
        </w:rPr>
        <w:tab/>
        <w:t>(WP5D#51)</w:t>
      </w:r>
      <w:r>
        <w:rPr>
          <w:lang w:val="en-US"/>
        </w:rPr>
        <w:tab/>
      </w:r>
      <w:r w:rsidRPr="00A5634C">
        <w:rPr>
          <w:highlight w:val="yellow"/>
          <w:lang w:val="en-US"/>
        </w:rPr>
        <w:t>Finalize document</w:t>
      </w:r>
      <w:r>
        <w:rPr>
          <w:lang w:val="en-US"/>
        </w:rPr>
        <w:t xml:space="preserve"> as Draft new report</w:t>
      </w:r>
      <w:r w:rsidR="00EE7FE4">
        <w:rPr>
          <w:lang w:val="en-US"/>
        </w:rPr>
        <w:t>.</w:t>
      </w:r>
    </w:p>
    <w:p w14:paraId="27A9E28A" w14:textId="1AB43C6E" w:rsidR="008A45EB" w:rsidRDefault="00A5634C" w:rsidP="002C7340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D670C8">
        <w:rPr>
          <w:lang w:val="en-US"/>
        </w:rPr>
        <w:t xml:space="preserve">work </w:t>
      </w:r>
      <w:r>
        <w:rPr>
          <w:lang w:val="en-US"/>
        </w:rPr>
        <w:t xml:space="preserve">plan thus calls for a quite </w:t>
      </w:r>
      <w:r w:rsidR="000609A9">
        <w:rPr>
          <w:lang w:val="en-US"/>
        </w:rPr>
        <w:t>s</w:t>
      </w:r>
      <w:r>
        <w:rPr>
          <w:lang w:val="en-US"/>
        </w:rPr>
        <w:t>table set of TPR</w:t>
      </w:r>
      <w:r w:rsidR="000609A9">
        <w:rPr>
          <w:lang w:val="en-US"/>
        </w:rPr>
        <w:t>s</w:t>
      </w:r>
      <w:r>
        <w:rPr>
          <w:lang w:val="en-US"/>
        </w:rPr>
        <w:t xml:space="preserve"> by early 2025 and to </w:t>
      </w:r>
      <w:r w:rsidR="001361E7">
        <w:rPr>
          <w:lang w:val="en-US"/>
        </w:rPr>
        <w:t>agree on target values in the second half of 2025.</w:t>
      </w:r>
    </w:p>
    <w:p w14:paraId="5FB99C5F" w14:textId="28A24A23" w:rsidR="002C7340" w:rsidRDefault="002C7340" w:rsidP="002C7340">
      <w:pPr>
        <w:pStyle w:val="Heading1"/>
        <w:rPr>
          <w:lang w:val="en-US"/>
        </w:rPr>
      </w:pPr>
      <w:r>
        <w:rPr>
          <w:lang w:val="en-US"/>
        </w:rPr>
        <w:t xml:space="preserve">Evaluation and Test environments </w:t>
      </w:r>
    </w:p>
    <w:p w14:paraId="02E19B51" w14:textId="29F34852" w:rsidR="00B865BB" w:rsidRDefault="00EE7FE4" w:rsidP="00B865BB">
      <w:pPr>
        <w:pStyle w:val="BodyText"/>
        <w:rPr>
          <w:lang w:val="en-US"/>
        </w:rPr>
      </w:pPr>
      <w:r>
        <w:rPr>
          <w:lang w:val="en-US"/>
        </w:rPr>
        <w:t>The work on Evaluation and test environments ha</w:t>
      </w:r>
      <w:r w:rsidR="000609A9">
        <w:rPr>
          <w:lang w:val="en-US"/>
        </w:rPr>
        <w:t>s</w:t>
      </w:r>
      <w:r>
        <w:rPr>
          <w:lang w:val="en-US"/>
        </w:rPr>
        <w:t xml:space="preserve"> not formally started, but a first discussion was held at the recent WP5D#46 meeting in June. A report will be developed for IMT-2030 that corresponds to </w:t>
      </w:r>
      <w:r w:rsidRPr="00B40C56">
        <w:rPr>
          <w:lang w:val="en-US"/>
        </w:rPr>
        <w:t>Report ITU-R M.241</w:t>
      </w:r>
      <w:r w:rsidR="006F10A1">
        <w:rPr>
          <w:lang w:val="en-US"/>
        </w:rPr>
        <w:t>2</w:t>
      </w:r>
      <w:r>
        <w:rPr>
          <w:lang w:val="en-US"/>
        </w:rPr>
        <w:t xml:space="preserve"> [</w:t>
      </w:r>
      <w:r w:rsidR="00892C15">
        <w:rPr>
          <w:lang w:val="en-US"/>
        </w:rPr>
        <w:t>4</w:t>
      </w:r>
      <w:r>
        <w:rPr>
          <w:lang w:val="en-US"/>
        </w:rPr>
        <w:t xml:space="preserve">] for IMT-2020 and will set </w:t>
      </w:r>
      <w:r w:rsidRPr="00EE7FE4">
        <w:rPr>
          <w:lang w:val="en-US"/>
        </w:rPr>
        <w:t>guidelines for the procedure, the methodology and the criteria to be used in evaluating the candidate IMT-20</w:t>
      </w:r>
      <w:r>
        <w:rPr>
          <w:lang w:val="en-US"/>
        </w:rPr>
        <w:t>3</w:t>
      </w:r>
      <w:r w:rsidRPr="00EE7FE4">
        <w:rPr>
          <w:lang w:val="en-US"/>
        </w:rPr>
        <w:t xml:space="preserve">0 radio interface technologies for </w:t>
      </w:r>
      <w:proofErr w:type="gramStart"/>
      <w:r w:rsidRPr="00EE7FE4">
        <w:rPr>
          <w:lang w:val="en-US"/>
        </w:rPr>
        <w:t>a number of</w:t>
      </w:r>
      <w:proofErr w:type="gramEnd"/>
      <w:r w:rsidRPr="00EE7FE4">
        <w:rPr>
          <w:lang w:val="en-US"/>
        </w:rPr>
        <w:t xml:space="preserve"> test environments. </w:t>
      </w:r>
      <w:r>
        <w:rPr>
          <w:lang w:val="en-US"/>
        </w:rPr>
        <w:t xml:space="preserve">For each </w:t>
      </w:r>
      <w:r w:rsidR="00F21BB2">
        <w:rPr>
          <w:lang w:val="en-US"/>
        </w:rPr>
        <w:t>TPR</w:t>
      </w:r>
      <w:r>
        <w:rPr>
          <w:lang w:val="en-US"/>
        </w:rPr>
        <w:t xml:space="preserve">, </w:t>
      </w:r>
      <w:r w:rsidR="006F10A1">
        <w:rPr>
          <w:lang w:val="en-US"/>
        </w:rPr>
        <w:t>evaluation</w:t>
      </w:r>
      <w:r>
        <w:rPr>
          <w:lang w:val="en-US"/>
        </w:rPr>
        <w:t xml:space="preserve"> can either be by analysis, </w:t>
      </w:r>
      <w:proofErr w:type="gramStart"/>
      <w:r>
        <w:rPr>
          <w:lang w:val="en-US"/>
        </w:rPr>
        <w:t>simulation</w:t>
      </w:r>
      <w:proofErr w:type="gramEnd"/>
      <w:r>
        <w:rPr>
          <w:lang w:val="en-US"/>
        </w:rPr>
        <w:t xml:space="preserve"> or inspection.</w:t>
      </w:r>
    </w:p>
    <w:p w14:paraId="1C34B7B7" w14:textId="77777777" w:rsidR="006F10A1" w:rsidRDefault="006F10A1" w:rsidP="006F10A1">
      <w:pPr>
        <w:pStyle w:val="BodyText"/>
        <w:rPr>
          <w:lang w:val="en-US"/>
        </w:rPr>
      </w:pPr>
      <w:r>
        <w:rPr>
          <w:lang w:val="en-US"/>
        </w:rPr>
        <w:t>While no formal agreements were made at WP5D#46, some informal consensus was identified:</w:t>
      </w:r>
    </w:p>
    <w:p w14:paraId="5DB58A99" w14:textId="5D26B5BC" w:rsidR="006F10A1" w:rsidRDefault="006F10A1" w:rsidP="006F10A1">
      <w:pPr>
        <w:pStyle w:val="BodyText"/>
        <w:numPr>
          <w:ilvl w:val="0"/>
          <w:numId w:val="23"/>
        </w:numPr>
        <w:rPr>
          <w:lang w:val="en-US"/>
        </w:rPr>
      </w:pPr>
      <w:r>
        <w:rPr>
          <w:lang w:val="en-US"/>
        </w:rPr>
        <w:lastRenderedPageBreak/>
        <w:t>The definition of Test environments remains from IMT-2020 as being a c</w:t>
      </w:r>
      <w:r w:rsidRPr="006F10A1">
        <w:rPr>
          <w:lang w:val="en-US"/>
        </w:rPr>
        <w:t xml:space="preserve">ombination of </w:t>
      </w:r>
      <w:r w:rsidRPr="00F21BB2">
        <w:rPr>
          <w:i/>
          <w:iCs/>
          <w:lang w:val="en-US"/>
        </w:rPr>
        <w:t>geographic environment</w:t>
      </w:r>
      <w:r w:rsidRPr="006F10A1">
        <w:rPr>
          <w:lang w:val="en-US"/>
        </w:rPr>
        <w:t xml:space="preserve"> and </w:t>
      </w:r>
      <w:r w:rsidRPr="00F21BB2">
        <w:rPr>
          <w:i/>
          <w:iCs/>
          <w:lang w:val="en-US"/>
        </w:rPr>
        <w:t>usage scenario</w:t>
      </w:r>
      <w:r>
        <w:rPr>
          <w:lang w:val="en-US"/>
        </w:rPr>
        <w:t>.</w:t>
      </w:r>
    </w:p>
    <w:p w14:paraId="519A7E9E" w14:textId="4B4C288C" w:rsidR="006F10A1" w:rsidRDefault="006F10A1" w:rsidP="006F10A1">
      <w:pPr>
        <w:pStyle w:val="BodyText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The five test environments from IMT-2020 remain as baseline but would be based on the </w:t>
      </w:r>
      <w:r w:rsidR="00954972">
        <w:rPr>
          <w:lang w:val="en-US"/>
        </w:rPr>
        <w:t>expanded</w:t>
      </w:r>
      <w:r>
        <w:rPr>
          <w:lang w:val="en-US"/>
        </w:rPr>
        <w:t xml:space="preserve"> usage scenarios</w:t>
      </w:r>
      <w:r w:rsidR="00A36C00">
        <w:rPr>
          <w:lang w:val="en-US"/>
        </w:rPr>
        <w:t xml:space="preserve"> (Immersive Communication, Hyper Reliable and Low-Latency Communication, and Massive Communication)</w:t>
      </w:r>
      <w:r>
        <w:rPr>
          <w:lang w:val="en-US"/>
        </w:rPr>
        <w:t>.</w:t>
      </w:r>
    </w:p>
    <w:p w14:paraId="0CF99DB7" w14:textId="653B7BEB" w:rsidR="006F10A1" w:rsidRDefault="006F10A1" w:rsidP="00B93BA9">
      <w:pPr>
        <w:pStyle w:val="BodyText"/>
        <w:rPr>
          <w:lang w:val="en-US"/>
        </w:rPr>
      </w:pPr>
      <w:r>
        <w:rPr>
          <w:lang w:val="en-US"/>
        </w:rPr>
        <w:t>For the three new usage scenarios</w:t>
      </w:r>
      <w:r w:rsidR="00B93BA9">
        <w:rPr>
          <w:lang w:val="en-US"/>
        </w:rPr>
        <w:t xml:space="preserve"> (</w:t>
      </w:r>
      <w:r w:rsidR="00B93BA9" w:rsidRPr="00B93BA9">
        <w:rPr>
          <w:lang w:val="en-US"/>
        </w:rPr>
        <w:t>Ubiquitous connectivity</w:t>
      </w:r>
      <w:r w:rsidR="00B93BA9">
        <w:rPr>
          <w:lang w:val="en-US"/>
        </w:rPr>
        <w:t xml:space="preserve">, </w:t>
      </w:r>
      <w:r w:rsidR="00B93BA9" w:rsidRPr="00B93BA9">
        <w:rPr>
          <w:lang w:val="en-US"/>
        </w:rPr>
        <w:t>Artificial Intelligence and Communication</w:t>
      </w:r>
      <w:r w:rsidR="00744FC6">
        <w:rPr>
          <w:lang w:val="en-US"/>
        </w:rPr>
        <w:t>, and</w:t>
      </w:r>
      <w:r w:rsidR="00B93BA9">
        <w:rPr>
          <w:lang w:val="en-US"/>
        </w:rPr>
        <w:t xml:space="preserve"> </w:t>
      </w:r>
      <w:r w:rsidR="00B93BA9" w:rsidRPr="00B93BA9">
        <w:rPr>
          <w:lang w:val="en-US"/>
        </w:rPr>
        <w:t>Integrated Sensing and Communication</w:t>
      </w:r>
      <w:r w:rsidR="00B93BA9">
        <w:rPr>
          <w:lang w:val="en-US"/>
        </w:rPr>
        <w:t>)</w:t>
      </w:r>
      <w:r>
        <w:rPr>
          <w:lang w:val="en-US"/>
        </w:rPr>
        <w:t>, there were several candidate test environments proposed and discussed.</w:t>
      </w:r>
    </w:p>
    <w:p w14:paraId="17A541F6" w14:textId="23C505F0" w:rsidR="00B865BB" w:rsidRDefault="00F21BB2" w:rsidP="00B865BB">
      <w:pPr>
        <w:pStyle w:val="BodyText"/>
        <w:rPr>
          <w:lang w:val="en-US"/>
        </w:rPr>
      </w:pPr>
      <w:r>
        <w:rPr>
          <w:lang w:val="en-US"/>
        </w:rPr>
        <w:t xml:space="preserve">Formal discussions will start in October 2024 (WP5D#47). </w:t>
      </w:r>
      <w:r w:rsidR="006F10A1">
        <w:rPr>
          <w:lang w:val="en-US"/>
        </w:rPr>
        <w:t>The overall IMT-</w:t>
      </w:r>
      <w:proofErr w:type="gramStart"/>
      <w:r w:rsidR="006F10A1">
        <w:rPr>
          <w:lang w:val="en-US"/>
        </w:rPr>
        <w:t xml:space="preserve">2030 </w:t>
      </w:r>
      <w:r w:rsidR="00892C15">
        <w:rPr>
          <w:lang w:val="en-US"/>
        </w:rPr>
        <w:t>time</w:t>
      </w:r>
      <w:proofErr w:type="gramEnd"/>
      <w:r w:rsidR="006F10A1">
        <w:rPr>
          <w:lang w:val="en-US"/>
        </w:rPr>
        <w:t xml:space="preserve"> plan calls for the Evaluation report to be completed by June 202</w:t>
      </w:r>
      <w:r w:rsidR="00892C15">
        <w:rPr>
          <w:lang w:val="en-US"/>
        </w:rPr>
        <w:t>6</w:t>
      </w:r>
      <w:r w:rsidR="006F10A1">
        <w:rPr>
          <w:lang w:val="en-US"/>
        </w:rPr>
        <w:t xml:space="preserve"> (WP5D#52).</w:t>
      </w:r>
    </w:p>
    <w:p w14:paraId="4780488C" w14:textId="5464B318" w:rsidR="006F10A1" w:rsidRDefault="006F10A1" w:rsidP="00B445A4">
      <w:pPr>
        <w:pStyle w:val="Heading1"/>
        <w:rPr>
          <w:lang w:val="en-US"/>
        </w:rPr>
      </w:pPr>
      <w:r>
        <w:rPr>
          <w:lang w:val="en-US"/>
        </w:rPr>
        <w:t>Submission template</w:t>
      </w:r>
      <w:r w:rsidR="00892C15">
        <w:rPr>
          <w:lang w:val="en-US"/>
        </w:rPr>
        <w:t>s</w:t>
      </w:r>
    </w:p>
    <w:p w14:paraId="158DDAC0" w14:textId="77777777" w:rsidR="00892C15" w:rsidRDefault="006F10A1" w:rsidP="00892C15">
      <w:pPr>
        <w:pStyle w:val="BodyText"/>
        <w:rPr>
          <w:lang w:val="en-US"/>
        </w:rPr>
      </w:pPr>
      <w:r>
        <w:rPr>
          <w:lang w:val="en-US"/>
        </w:rPr>
        <w:t xml:space="preserve">The final document that ITU-R WP5D will draft for the </w:t>
      </w:r>
      <w:r w:rsidR="00892C15">
        <w:rPr>
          <w:lang w:val="en-US"/>
        </w:rPr>
        <w:t>IMT-2030 requirement and evaluation is the report on “</w:t>
      </w:r>
      <w:r w:rsidR="00892C15" w:rsidRPr="00892C15">
        <w:rPr>
          <w:lang w:val="en-US"/>
        </w:rPr>
        <w:t>Requirements, evaluation criteria and</w:t>
      </w:r>
      <w:r w:rsidR="00892C15">
        <w:rPr>
          <w:lang w:val="en-US"/>
        </w:rPr>
        <w:t xml:space="preserve"> </w:t>
      </w:r>
      <w:r w:rsidR="00892C15" w:rsidRPr="00892C15">
        <w:rPr>
          <w:lang w:val="en-US"/>
        </w:rPr>
        <w:t>submission templates</w:t>
      </w:r>
      <w:r w:rsidR="00892C15">
        <w:rPr>
          <w:lang w:val="en-US"/>
        </w:rPr>
        <w:t xml:space="preserve">”, corresponding to </w:t>
      </w:r>
      <w:r w:rsidR="00892C15" w:rsidRPr="00B40C56">
        <w:rPr>
          <w:lang w:val="en-US"/>
        </w:rPr>
        <w:t>Report ITU-R M.241</w:t>
      </w:r>
      <w:r w:rsidR="00892C15">
        <w:rPr>
          <w:lang w:val="en-US"/>
        </w:rPr>
        <w:t>1 [5] for IMT-2020.</w:t>
      </w:r>
    </w:p>
    <w:p w14:paraId="43E5A45A" w14:textId="5BB935D5" w:rsidR="006F10A1" w:rsidRPr="006F10A1" w:rsidRDefault="00892C15" w:rsidP="00892C15">
      <w:pPr>
        <w:pStyle w:val="BodyText"/>
        <w:rPr>
          <w:lang w:val="en-US"/>
        </w:rPr>
      </w:pPr>
      <w:r>
        <w:rPr>
          <w:lang w:val="en-US"/>
        </w:rPr>
        <w:t>The plan is to start in June 2025 (WP5D#49) and to complete work</w:t>
      </w:r>
      <w:r w:rsidR="006F10A1">
        <w:rPr>
          <w:lang w:val="en-US"/>
        </w:rPr>
        <w:t xml:space="preserve"> </w:t>
      </w:r>
      <w:r>
        <w:rPr>
          <w:lang w:val="en-US"/>
        </w:rPr>
        <w:t>on the new report in October 2026 (WP5D#53)</w:t>
      </w:r>
    </w:p>
    <w:p w14:paraId="1677C7DF" w14:textId="576E8F67" w:rsidR="00551262" w:rsidRDefault="006F10A1" w:rsidP="00B445A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C3B6E83" w14:textId="7CF5A927" w:rsidR="00B445A4" w:rsidRDefault="00892C15" w:rsidP="00896C6F">
      <w:pPr>
        <w:pStyle w:val="BodyText"/>
        <w:rPr>
          <w:lang w:val="en-US"/>
        </w:rPr>
      </w:pPr>
      <w:r>
        <w:rPr>
          <w:lang w:val="en-US"/>
        </w:rPr>
        <w:t>This document presented an overview of the ongoing work on IMT-20</w:t>
      </w:r>
      <w:r w:rsidR="000609A9">
        <w:rPr>
          <w:lang w:val="en-US"/>
        </w:rPr>
        <w:t>3</w:t>
      </w:r>
      <w:r>
        <w:rPr>
          <w:lang w:val="en-US"/>
        </w:rPr>
        <w:t>0 requirements and evaluation in ITU-R WP5D</w:t>
      </w:r>
      <w:r w:rsidR="00B93BA9">
        <w:rPr>
          <w:lang w:val="en-US"/>
        </w:rPr>
        <w:t>, for consideration by TSG RAN</w:t>
      </w:r>
      <w:r>
        <w:rPr>
          <w:lang w:val="en-US"/>
        </w:rPr>
        <w:t>.</w:t>
      </w:r>
      <w:r w:rsidR="007E73DC">
        <w:rPr>
          <w:lang w:val="en-US"/>
        </w:rPr>
        <w:t xml:space="preserve"> According to the time plan depicted in above section 2, WP 5D plans to p</w:t>
      </w:r>
      <w:r w:rsidR="007E73DC" w:rsidRPr="00A5634C">
        <w:rPr>
          <w:lang w:val="en-US"/>
        </w:rPr>
        <w:t>reliminar</w:t>
      </w:r>
      <w:r w:rsidR="007E73DC">
        <w:rPr>
          <w:lang w:val="en-US"/>
        </w:rPr>
        <w:t>il</w:t>
      </w:r>
      <w:r w:rsidR="007E73DC" w:rsidRPr="00A5634C">
        <w:rPr>
          <w:lang w:val="en-US"/>
        </w:rPr>
        <w:t>y agree</w:t>
      </w:r>
      <w:r w:rsidR="007E73DC">
        <w:rPr>
          <w:lang w:val="en-US"/>
        </w:rPr>
        <w:t xml:space="preserve"> on the </w:t>
      </w:r>
      <w:r w:rsidR="007E73DC" w:rsidRPr="00A5634C">
        <w:rPr>
          <w:lang w:val="en-US"/>
        </w:rPr>
        <w:t xml:space="preserve">list of </w:t>
      </w:r>
      <w:r w:rsidR="007E73DC">
        <w:rPr>
          <w:lang w:val="en-US"/>
        </w:rPr>
        <w:t xml:space="preserve">TPRs at its #48 meeting in February 2025. This is suggested to be considered when arranging the objectives for </w:t>
      </w:r>
      <w:r w:rsidR="007E73DC" w:rsidRPr="00892C15">
        <w:rPr>
          <w:lang w:val="en-US"/>
        </w:rPr>
        <w:t>3GPP RAN Plenary</w:t>
      </w:r>
      <w:r w:rsidR="007E73DC">
        <w:rPr>
          <w:lang w:val="en-US"/>
        </w:rPr>
        <w:t xml:space="preserve"> </w:t>
      </w:r>
      <w:proofErr w:type="gramStart"/>
      <w:r w:rsidR="007E73DC">
        <w:rPr>
          <w:lang w:val="en-US"/>
        </w:rPr>
        <w:t>meeting</w:t>
      </w:r>
      <w:proofErr w:type="gramEnd"/>
      <w:r w:rsidR="007E73DC">
        <w:rPr>
          <w:lang w:val="en-US"/>
        </w:rPr>
        <w:t xml:space="preserve"> in December 2024.</w:t>
      </w:r>
    </w:p>
    <w:p w14:paraId="7C6EC389" w14:textId="77777777" w:rsidR="00F21BB2" w:rsidRPr="00B445A4" w:rsidRDefault="00F21BB2" w:rsidP="00896C6F">
      <w:pPr>
        <w:pStyle w:val="BodyText"/>
        <w:rPr>
          <w:lang w:val="en-US"/>
        </w:rPr>
      </w:pP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3BD3B2C8" w14:textId="4474CC2A" w:rsidR="002D6A4D" w:rsidRDefault="002D6A4D" w:rsidP="002D6A4D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D6A4D">
        <w:rPr>
          <w:lang w:val="en-US"/>
        </w:rPr>
        <w:t xml:space="preserve">Recommendation </w:t>
      </w:r>
      <w:hyperlink r:id="rId12" w:history="1">
        <w:r w:rsidRPr="00354248">
          <w:rPr>
            <w:rStyle w:val="Hyperlink"/>
            <w:lang w:val="en-US"/>
          </w:rPr>
          <w:t>ITU-R M.2160-0 (11/2023)</w:t>
        </w:r>
      </w:hyperlink>
      <w:r w:rsidRPr="002D6A4D">
        <w:rPr>
          <w:lang w:val="en-US"/>
        </w:rPr>
        <w:t xml:space="preserve">, “Framework and overall objectives of the future development of IMT for 2030 and beyond”. </w:t>
      </w:r>
    </w:p>
    <w:p w14:paraId="2B0CEA52" w14:textId="147FD0A2" w:rsidR="002D6A4D" w:rsidRDefault="002D6A4D" w:rsidP="002D6A4D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D6A4D">
        <w:rPr>
          <w:lang w:val="en-US"/>
        </w:rPr>
        <w:t xml:space="preserve">Report </w:t>
      </w:r>
      <w:hyperlink r:id="rId13" w:history="1">
        <w:r w:rsidRPr="00593B48">
          <w:rPr>
            <w:rStyle w:val="Hyperlink"/>
            <w:lang w:val="en-US"/>
          </w:rPr>
          <w:t>ITU-R M.2516-0 (11/2022)</w:t>
        </w:r>
      </w:hyperlink>
      <w:r w:rsidRPr="002D6A4D">
        <w:rPr>
          <w:lang w:val="en-US"/>
        </w:rPr>
        <w:t>, “Future technology trends of terrestrial IMT systems towards 2030 and beyond”</w:t>
      </w:r>
      <w:r>
        <w:rPr>
          <w:lang w:val="en-US"/>
        </w:rPr>
        <w:t>.</w:t>
      </w:r>
    </w:p>
    <w:p w14:paraId="1BD71988" w14:textId="57E7B778" w:rsidR="002D6A4D" w:rsidRDefault="002D6A4D" w:rsidP="00621F57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 w:rsidRPr="002D6A4D">
        <w:rPr>
          <w:lang w:val="en-US"/>
        </w:rPr>
        <w:t xml:space="preserve">Report </w:t>
      </w:r>
      <w:hyperlink r:id="rId14" w:history="1">
        <w:r w:rsidRPr="00593B48">
          <w:rPr>
            <w:rStyle w:val="Hyperlink"/>
            <w:lang w:val="en-US"/>
          </w:rPr>
          <w:t>ITU-R M.2410-0 (11/2017)</w:t>
        </w:r>
      </w:hyperlink>
      <w:r w:rsidRPr="002D6A4D">
        <w:rPr>
          <w:lang w:val="en-US"/>
        </w:rPr>
        <w:t>, “Minimum requirements related to technical performance for IMT-2020radio interface(s)</w:t>
      </w:r>
      <w:r>
        <w:rPr>
          <w:lang w:val="en-US"/>
        </w:rPr>
        <w:t>”.</w:t>
      </w:r>
    </w:p>
    <w:p w14:paraId="05A6D650" w14:textId="5BF1669B" w:rsidR="002D6A4D" w:rsidRDefault="002D6A4D" w:rsidP="002D6A4D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D6A4D">
        <w:rPr>
          <w:lang w:val="en-US"/>
        </w:rPr>
        <w:t xml:space="preserve">Report </w:t>
      </w:r>
      <w:hyperlink r:id="rId15" w:history="1">
        <w:r w:rsidRPr="00593B48">
          <w:rPr>
            <w:rStyle w:val="Hyperlink"/>
            <w:lang w:val="en-US"/>
          </w:rPr>
          <w:t>ITU-R M.2412-0 (10/2017)</w:t>
        </w:r>
      </w:hyperlink>
      <w:r w:rsidRPr="002D6A4D">
        <w:rPr>
          <w:lang w:val="en-US"/>
        </w:rPr>
        <w:t>, “Guidelines for evaluation of radio interface</w:t>
      </w:r>
      <w:r>
        <w:rPr>
          <w:lang w:val="en-US"/>
        </w:rPr>
        <w:t xml:space="preserve"> </w:t>
      </w:r>
      <w:r w:rsidRPr="002D6A4D">
        <w:rPr>
          <w:lang w:val="en-US"/>
        </w:rPr>
        <w:t>technologies for IMT-2020</w:t>
      </w:r>
      <w:r>
        <w:rPr>
          <w:lang w:val="en-US"/>
        </w:rPr>
        <w:t>”.</w:t>
      </w:r>
    </w:p>
    <w:p w14:paraId="7B44256A" w14:textId="10894F1A" w:rsidR="002D6A4D" w:rsidRDefault="002D6A4D" w:rsidP="002D6A4D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D6A4D">
        <w:rPr>
          <w:lang w:val="en-US"/>
        </w:rPr>
        <w:t xml:space="preserve">Report </w:t>
      </w:r>
      <w:hyperlink r:id="rId16" w:history="1">
        <w:r w:rsidRPr="00593B48">
          <w:rPr>
            <w:rStyle w:val="Hyperlink"/>
            <w:lang w:val="en-US"/>
          </w:rPr>
          <w:t>ITU-R M.2411-0 (11/2017)</w:t>
        </w:r>
      </w:hyperlink>
      <w:r w:rsidRPr="002D6A4D">
        <w:rPr>
          <w:lang w:val="en-US"/>
        </w:rPr>
        <w:t>, “Requirements, evaluation criteria and submission templates for the</w:t>
      </w:r>
      <w:r>
        <w:rPr>
          <w:lang w:val="en-US"/>
        </w:rPr>
        <w:t xml:space="preserve"> </w:t>
      </w:r>
      <w:r w:rsidRPr="002D6A4D">
        <w:rPr>
          <w:lang w:val="en-US"/>
        </w:rPr>
        <w:t>development of IMT-2020</w:t>
      </w:r>
      <w:r>
        <w:rPr>
          <w:lang w:val="en-US"/>
        </w:rPr>
        <w:t>”.</w:t>
      </w:r>
    </w:p>
    <w:p w14:paraId="38828A25" w14:textId="2840A1DE" w:rsidR="00B40C56" w:rsidRDefault="00B40C56" w:rsidP="00B40C56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40C56">
        <w:rPr>
          <w:lang w:val="en-US"/>
        </w:rPr>
        <w:t xml:space="preserve">“Working Document towards a Preliminary Draft New Report ITU-R M.[IMT-2030.TECH PERF REQ]: Minimum requirements related to technical performance for IMT-2030 radio interface(s)”, </w:t>
      </w:r>
      <w:hyperlink r:id="rId17" w:history="1">
        <w:r w:rsidR="00565C1F">
          <w:rPr>
            <w:rStyle w:val="Hyperlink"/>
            <w:lang w:val="en-US"/>
          </w:rPr>
          <w:t>Annex 5.8 to Working Party 5D Chairman’s Report</w:t>
        </w:r>
      </w:hyperlink>
      <w:r>
        <w:rPr>
          <w:lang w:val="en-US"/>
        </w:rPr>
        <w:t>.</w:t>
      </w:r>
    </w:p>
    <w:p w14:paraId="17A41521" w14:textId="4312860A" w:rsidR="00B40C56" w:rsidRPr="00B40C56" w:rsidRDefault="00B40C56" w:rsidP="23C31440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23C31440">
        <w:t xml:space="preserve">“Detailed workplan for the development of Draft New Report ITU-R M.[IMT-2030.TECH PERF REQ]”, </w:t>
      </w:r>
      <w:hyperlink r:id="rId18" w:history="1">
        <w:r w:rsidR="00565C1F">
          <w:rPr>
            <w:rStyle w:val="Hyperlink"/>
          </w:rPr>
          <w:t>Annex 2.20.12 to Working Party 5D Chair’s Report</w:t>
        </w:r>
      </w:hyperlink>
      <w:r w:rsidRPr="23C31440">
        <w:t>.</w:t>
      </w: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E56D" w14:textId="77777777" w:rsidR="0028248B" w:rsidRDefault="0028248B">
      <w:r>
        <w:separator/>
      </w:r>
    </w:p>
  </w:endnote>
  <w:endnote w:type="continuationSeparator" w:id="0">
    <w:p w14:paraId="774C3B22" w14:textId="77777777" w:rsidR="0028248B" w:rsidRDefault="0028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CF07" w14:textId="77777777" w:rsidR="0028248B" w:rsidRDefault="0028248B">
      <w:r>
        <w:separator/>
      </w:r>
    </w:p>
  </w:footnote>
  <w:footnote w:type="continuationSeparator" w:id="0">
    <w:p w14:paraId="07122C77" w14:textId="77777777" w:rsidR="0028248B" w:rsidRDefault="00282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478"/>
    <w:multiLevelType w:val="hybridMultilevel"/>
    <w:tmpl w:val="201C166C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E3C3C"/>
    <w:multiLevelType w:val="hybridMultilevel"/>
    <w:tmpl w:val="538EF8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259D5"/>
    <w:multiLevelType w:val="hybridMultilevel"/>
    <w:tmpl w:val="018E22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6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283976"/>
    <w:multiLevelType w:val="hybridMultilevel"/>
    <w:tmpl w:val="5CA22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37BE8"/>
    <w:multiLevelType w:val="hybridMultilevel"/>
    <w:tmpl w:val="6C3EF54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0C150AE"/>
    <w:multiLevelType w:val="hybridMultilevel"/>
    <w:tmpl w:val="DFC08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D6B04"/>
    <w:multiLevelType w:val="hybridMultilevel"/>
    <w:tmpl w:val="9CA27A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7"/>
    <w:multiLevelType w:val="hybridMultilevel"/>
    <w:tmpl w:val="5A74AE8C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7124961">
    <w:abstractNumId w:val="18"/>
  </w:num>
  <w:num w:numId="2" w16cid:durableId="991104961">
    <w:abstractNumId w:val="12"/>
  </w:num>
  <w:num w:numId="3" w16cid:durableId="645430289">
    <w:abstractNumId w:val="10"/>
  </w:num>
  <w:num w:numId="4" w16cid:durableId="1518697676">
    <w:abstractNumId w:val="17"/>
  </w:num>
  <w:num w:numId="5" w16cid:durableId="1018317228">
    <w:abstractNumId w:val="14"/>
  </w:num>
  <w:num w:numId="6" w16cid:durableId="1621183838">
    <w:abstractNumId w:val="22"/>
  </w:num>
  <w:num w:numId="7" w16cid:durableId="867059650">
    <w:abstractNumId w:val="4"/>
  </w:num>
  <w:num w:numId="8" w16cid:durableId="1275944715">
    <w:abstractNumId w:val="3"/>
  </w:num>
  <w:num w:numId="9" w16cid:durableId="1291353711">
    <w:abstractNumId w:val="13"/>
  </w:num>
  <w:num w:numId="10" w16cid:durableId="723867979">
    <w:abstractNumId w:val="7"/>
  </w:num>
  <w:num w:numId="11" w16cid:durableId="1335105298">
    <w:abstractNumId w:val="9"/>
  </w:num>
  <w:num w:numId="12" w16cid:durableId="431054280">
    <w:abstractNumId w:val="6"/>
  </w:num>
  <w:num w:numId="13" w16cid:durableId="665744508">
    <w:abstractNumId w:val="11"/>
  </w:num>
  <w:num w:numId="14" w16cid:durableId="785806747">
    <w:abstractNumId w:val="5"/>
  </w:num>
  <w:num w:numId="15" w16cid:durableId="1349137481">
    <w:abstractNumId w:val="8"/>
  </w:num>
  <w:num w:numId="16" w16cid:durableId="1766458258">
    <w:abstractNumId w:val="19"/>
  </w:num>
  <w:num w:numId="17" w16cid:durableId="731197753">
    <w:abstractNumId w:val="15"/>
  </w:num>
  <w:num w:numId="18" w16cid:durableId="779031456">
    <w:abstractNumId w:val="16"/>
  </w:num>
  <w:num w:numId="19" w16cid:durableId="1047027710">
    <w:abstractNumId w:val="21"/>
  </w:num>
  <w:num w:numId="20" w16cid:durableId="2127383632">
    <w:abstractNumId w:val="0"/>
  </w:num>
  <w:num w:numId="21" w16cid:durableId="1041788770">
    <w:abstractNumId w:val="1"/>
  </w:num>
  <w:num w:numId="22" w16cid:durableId="184100380">
    <w:abstractNumId w:val="20"/>
  </w:num>
  <w:num w:numId="23" w16cid:durableId="408700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403C"/>
    <w:rsid w:val="00011776"/>
    <w:rsid w:val="00016CA3"/>
    <w:rsid w:val="00022B48"/>
    <w:rsid w:val="000237F0"/>
    <w:rsid w:val="00037BA8"/>
    <w:rsid w:val="00041153"/>
    <w:rsid w:val="00047F45"/>
    <w:rsid w:val="0006072E"/>
    <w:rsid w:val="000609A9"/>
    <w:rsid w:val="00063B5C"/>
    <w:rsid w:val="00067B1B"/>
    <w:rsid w:val="000A5706"/>
    <w:rsid w:val="000C0308"/>
    <w:rsid w:val="000C5F61"/>
    <w:rsid w:val="000E5D87"/>
    <w:rsid w:val="000F1261"/>
    <w:rsid w:val="000F41F1"/>
    <w:rsid w:val="000F7F74"/>
    <w:rsid w:val="0010279D"/>
    <w:rsid w:val="00112EAA"/>
    <w:rsid w:val="00113182"/>
    <w:rsid w:val="001168CC"/>
    <w:rsid w:val="00124AB3"/>
    <w:rsid w:val="001260A0"/>
    <w:rsid w:val="00133B5A"/>
    <w:rsid w:val="00134CFA"/>
    <w:rsid w:val="001357BA"/>
    <w:rsid w:val="001361E7"/>
    <w:rsid w:val="00163220"/>
    <w:rsid w:val="001638B9"/>
    <w:rsid w:val="00166C84"/>
    <w:rsid w:val="00166D2E"/>
    <w:rsid w:val="00171F0A"/>
    <w:rsid w:val="00174101"/>
    <w:rsid w:val="00181130"/>
    <w:rsid w:val="00186510"/>
    <w:rsid w:val="00187095"/>
    <w:rsid w:val="00187770"/>
    <w:rsid w:val="001909A3"/>
    <w:rsid w:val="001919FF"/>
    <w:rsid w:val="001B2B7D"/>
    <w:rsid w:val="001B39DB"/>
    <w:rsid w:val="001C758F"/>
    <w:rsid w:val="001D46A7"/>
    <w:rsid w:val="001E4FBC"/>
    <w:rsid w:val="001E7A9E"/>
    <w:rsid w:val="00205FAC"/>
    <w:rsid w:val="0021189D"/>
    <w:rsid w:val="00237340"/>
    <w:rsid w:val="002374EE"/>
    <w:rsid w:val="00246998"/>
    <w:rsid w:val="00265D42"/>
    <w:rsid w:val="00272990"/>
    <w:rsid w:val="00281DE1"/>
    <w:rsid w:val="0028248B"/>
    <w:rsid w:val="00290443"/>
    <w:rsid w:val="00292DDE"/>
    <w:rsid w:val="00294CF5"/>
    <w:rsid w:val="002A118B"/>
    <w:rsid w:val="002A4267"/>
    <w:rsid w:val="002B6B5E"/>
    <w:rsid w:val="002C233C"/>
    <w:rsid w:val="002C7340"/>
    <w:rsid w:val="002C781B"/>
    <w:rsid w:val="002D2D54"/>
    <w:rsid w:val="002D6A4D"/>
    <w:rsid w:val="002E3E1A"/>
    <w:rsid w:val="002F612D"/>
    <w:rsid w:val="003026FD"/>
    <w:rsid w:val="00304E78"/>
    <w:rsid w:val="00306ED0"/>
    <w:rsid w:val="00312620"/>
    <w:rsid w:val="00314711"/>
    <w:rsid w:val="00314EDE"/>
    <w:rsid w:val="00316A16"/>
    <w:rsid w:val="00320346"/>
    <w:rsid w:val="00326A41"/>
    <w:rsid w:val="003271A7"/>
    <w:rsid w:val="00345BFE"/>
    <w:rsid w:val="00347B9D"/>
    <w:rsid w:val="00354248"/>
    <w:rsid w:val="00366695"/>
    <w:rsid w:val="003673C9"/>
    <w:rsid w:val="003710C4"/>
    <w:rsid w:val="003739C5"/>
    <w:rsid w:val="00376953"/>
    <w:rsid w:val="00377E84"/>
    <w:rsid w:val="00390BBB"/>
    <w:rsid w:val="00397389"/>
    <w:rsid w:val="003B48F2"/>
    <w:rsid w:val="003C0934"/>
    <w:rsid w:val="003C6850"/>
    <w:rsid w:val="003D3111"/>
    <w:rsid w:val="004017E5"/>
    <w:rsid w:val="00403B74"/>
    <w:rsid w:val="00405C7C"/>
    <w:rsid w:val="004126DA"/>
    <w:rsid w:val="00425637"/>
    <w:rsid w:val="00431D7D"/>
    <w:rsid w:val="0043565D"/>
    <w:rsid w:val="00442274"/>
    <w:rsid w:val="0044598B"/>
    <w:rsid w:val="0044655B"/>
    <w:rsid w:val="0045630F"/>
    <w:rsid w:val="004672AB"/>
    <w:rsid w:val="00480505"/>
    <w:rsid w:val="00480B55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D2914"/>
    <w:rsid w:val="004D48EC"/>
    <w:rsid w:val="004E6006"/>
    <w:rsid w:val="004F0707"/>
    <w:rsid w:val="00502A40"/>
    <w:rsid w:val="0052219E"/>
    <w:rsid w:val="00524C96"/>
    <w:rsid w:val="005271FB"/>
    <w:rsid w:val="005316F6"/>
    <w:rsid w:val="00545B40"/>
    <w:rsid w:val="005474F0"/>
    <w:rsid w:val="00551262"/>
    <w:rsid w:val="00552900"/>
    <w:rsid w:val="00565C1F"/>
    <w:rsid w:val="00571FDC"/>
    <w:rsid w:val="00580C39"/>
    <w:rsid w:val="00583594"/>
    <w:rsid w:val="00586410"/>
    <w:rsid w:val="00592364"/>
    <w:rsid w:val="00593B48"/>
    <w:rsid w:val="005A5ED2"/>
    <w:rsid w:val="005A6088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F0B32"/>
    <w:rsid w:val="005F6BB8"/>
    <w:rsid w:val="006011A8"/>
    <w:rsid w:val="006112E8"/>
    <w:rsid w:val="006137E3"/>
    <w:rsid w:val="00617A60"/>
    <w:rsid w:val="00621F57"/>
    <w:rsid w:val="0062237B"/>
    <w:rsid w:val="00626F96"/>
    <w:rsid w:val="00627220"/>
    <w:rsid w:val="00630A71"/>
    <w:rsid w:val="0063150A"/>
    <w:rsid w:val="00637023"/>
    <w:rsid w:val="00640BE4"/>
    <w:rsid w:val="006424D8"/>
    <w:rsid w:val="00653906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A7D78"/>
    <w:rsid w:val="006B0700"/>
    <w:rsid w:val="006C316A"/>
    <w:rsid w:val="006C543A"/>
    <w:rsid w:val="006D1494"/>
    <w:rsid w:val="006D6C66"/>
    <w:rsid w:val="006F10A1"/>
    <w:rsid w:val="006F3C5F"/>
    <w:rsid w:val="0070106C"/>
    <w:rsid w:val="00701224"/>
    <w:rsid w:val="0070201D"/>
    <w:rsid w:val="007061AB"/>
    <w:rsid w:val="00714C76"/>
    <w:rsid w:val="00721E37"/>
    <w:rsid w:val="00737B89"/>
    <w:rsid w:val="00744FC6"/>
    <w:rsid w:val="007467A5"/>
    <w:rsid w:val="0074776E"/>
    <w:rsid w:val="007554CE"/>
    <w:rsid w:val="0076687C"/>
    <w:rsid w:val="007676C2"/>
    <w:rsid w:val="007743A7"/>
    <w:rsid w:val="007A3D20"/>
    <w:rsid w:val="007D704C"/>
    <w:rsid w:val="007D7213"/>
    <w:rsid w:val="007E1B06"/>
    <w:rsid w:val="007E73DC"/>
    <w:rsid w:val="007F09BD"/>
    <w:rsid w:val="008125D8"/>
    <w:rsid w:val="00813593"/>
    <w:rsid w:val="008143CD"/>
    <w:rsid w:val="00831ABB"/>
    <w:rsid w:val="00833972"/>
    <w:rsid w:val="00836B80"/>
    <w:rsid w:val="0086504D"/>
    <w:rsid w:val="00873A66"/>
    <w:rsid w:val="008743E1"/>
    <w:rsid w:val="00876057"/>
    <w:rsid w:val="00880030"/>
    <w:rsid w:val="00892C15"/>
    <w:rsid w:val="00893082"/>
    <w:rsid w:val="00896C6F"/>
    <w:rsid w:val="008A45EB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77A5"/>
    <w:rsid w:val="00923CDF"/>
    <w:rsid w:val="00926E5B"/>
    <w:rsid w:val="00937888"/>
    <w:rsid w:val="00937D9C"/>
    <w:rsid w:val="009467F0"/>
    <w:rsid w:val="009536A8"/>
    <w:rsid w:val="00953F92"/>
    <w:rsid w:val="00954972"/>
    <w:rsid w:val="00954A47"/>
    <w:rsid w:val="00957486"/>
    <w:rsid w:val="00970462"/>
    <w:rsid w:val="00971586"/>
    <w:rsid w:val="00983238"/>
    <w:rsid w:val="00990790"/>
    <w:rsid w:val="009972FA"/>
    <w:rsid w:val="009A0633"/>
    <w:rsid w:val="009A4E07"/>
    <w:rsid w:val="009B23CB"/>
    <w:rsid w:val="009B27AA"/>
    <w:rsid w:val="009C1154"/>
    <w:rsid w:val="009C1D1E"/>
    <w:rsid w:val="009F7379"/>
    <w:rsid w:val="00A02A2D"/>
    <w:rsid w:val="00A059E3"/>
    <w:rsid w:val="00A206D0"/>
    <w:rsid w:val="00A33848"/>
    <w:rsid w:val="00A36C00"/>
    <w:rsid w:val="00A5634C"/>
    <w:rsid w:val="00A603D8"/>
    <w:rsid w:val="00A6681C"/>
    <w:rsid w:val="00A70759"/>
    <w:rsid w:val="00A74397"/>
    <w:rsid w:val="00A86694"/>
    <w:rsid w:val="00A96089"/>
    <w:rsid w:val="00AA0D42"/>
    <w:rsid w:val="00AA7E70"/>
    <w:rsid w:val="00AB1CBA"/>
    <w:rsid w:val="00AB2BE1"/>
    <w:rsid w:val="00AB4C64"/>
    <w:rsid w:val="00AB4CE0"/>
    <w:rsid w:val="00AB70AE"/>
    <w:rsid w:val="00AD1AC8"/>
    <w:rsid w:val="00AE060D"/>
    <w:rsid w:val="00AE298E"/>
    <w:rsid w:val="00AF5CC5"/>
    <w:rsid w:val="00AF631D"/>
    <w:rsid w:val="00B0059F"/>
    <w:rsid w:val="00B15BF9"/>
    <w:rsid w:val="00B228D3"/>
    <w:rsid w:val="00B241D5"/>
    <w:rsid w:val="00B340C5"/>
    <w:rsid w:val="00B40C56"/>
    <w:rsid w:val="00B4165B"/>
    <w:rsid w:val="00B4315B"/>
    <w:rsid w:val="00B445A4"/>
    <w:rsid w:val="00B520BA"/>
    <w:rsid w:val="00B53B63"/>
    <w:rsid w:val="00B73A1E"/>
    <w:rsid w:val="00B75EC3"/>
    <w:rsid w:val="00B77155"/>
    <w:rsid w:val="00B801AF"/>
    <w:rsid w:val="00B80476"/>
    <w:rsid w:val="00B865BB"/>
    <w:rsid w:val="00B93BA9"/>
    <w:rsid w:val="00BD2466"/>
    <w:rsid w:val="00BF1F70"/>
    <w:rsid w:val="00BF34F1"/>
    <w:rsid w:val="00BF4694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029B"/>
    <w:rsid w:val="00C81023"/>
    <w:rsid w:val="00C91A45"/>
    <w:rsid w:val="00C93AC6"/>
    <w:rsid w:val="00CA243A"/>
    <w:rsid w:val="00CB6253"/>
    <w:rsid w:val="00CB751D"/>
    <w:rsid w:val="00CC00BD"/>
    <w:rsid w:val="00CC01E7"/>
    <w:rsid w:val="00CC25B9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5BB8"/>
    <w:rsid w:val="00D44825"/>
    <w:rsid w:val="00D466E4"/>
    <w:rsid w:val="00D534DA"/>
    <w:rsid w:val="00D6268F"/>
    <w:rsid w:val="00D6408E"/>
    <w:rsid w:val="00D646C0"/>
    <w:rsid w:val="00D670C8"/>
    <w:rsid w:val="00D8048C"/>
    <w:rsid w:val="00D87CC2"/>
    <w:rsid w:val="00D92470"/>
    <w:rsid w:val="00DB56A2"/>
    <w:rsid w:val="00DB5CA5"/>
    <w:rsid w:val="00DC0E1D"/>
    <w:rsid w:val="00DC23D4"/>
    <w:rsid w:val="00DC2851"/>
    <w:rsid w:val="00DE3D60"/>
    <w:rsid w:val="00DF1B9B"/>
    <w:rsid w:val="00DF1F60"/>
    <w:rsid w:val="00E10DCA"/>
    <w:rsid w:val="00E12CF3"/>
    <w:rsid w:val="00E25574"/>
    <w:rsid w:val="00E317C8"/>
    <w:rsid w:val="00E34C99"/>
    <w:rsid w:val="00E36554"/>
    <w:rsid w:val="00E43EB6"/>
    <w:rsid w:val="00E465C0"/>
    <w:rsid w:val="00E5091B"/>
    <w:rsid w:val="00E52110"/>
    <w:rsid w:val="00E5213B"/>
    <w:rsid w:val="00E523AA"/>
    <w:rsid w:val="00E608D7"/>
    <w:rsid w:val="00E64966"/>
    <w:rsid w:val="00E65329"/>
    <w:rsid w:val="00E71A1A"/>
    <w:rsid w:val="00E85053"/>
    <w:rsid w:val="00E91AA4"/>
    <w:rsid w:val="00E9449A"/>
    <w:rsid w:val="00E96D3A"/>
    <w:rsid w:val="00EA2B18"/>
    <w:rsid w:val="00EA3B33"/>
    <w:rsid w:val="00EA54F7"/>
    <w:rsid w:val="00EB2AC9"/>
    <w:rsid w:val="00EB4101"/>
    <w:rsid w:val="00EB7A47"/>
    <w:rsid w:val="00EC4D40"/>
    <w:rsid w:val="00ED38E0"/>
    <w:rsid w:val="00ED57E7"/>
    <w:rsid w:val="00ED5EC6"/>
    <w:rsid w:val="00EE32C0"/>
    <w:rsid w:val="00EE7FE4"/>
    <w:rsid w:val="00EF0BC3"/>
    <w:rsid w:val="00EF2017"/>
    <w:rsid w:val="00F00133"/>
    <w:rsid w:val="00F030E8"/>
    <w:rsid w:val="00F0336F"/>
    <w:rsid w:val="00F06C5C"/>
    <w:rsid w:val="00F10B2B"/>
    <w:rsid w:val="00F11F98"/>
    <w:rsid w:val="00F21BB2"/>
    <w:rsid w:val="00F32056"/>
    <w:rsid w:val="00F3592A"/>
    <w:rsid w:val="00F44BCF"/>
    <w:rsid w:val="00F51A48"/>
    <w:rsid w:val="00F56778"/>
    <w:rsid w:val="00F6148F"/>
    <w:rsid w:val="00F6291E"/>
    <w:rsid w:val="00F645EE"/>
    <w:rsid w:val="00F660AB"/>
    <w:rsid w:val="00F76429"/>
    <w:rsid w:val="00F8357F"/>
    <w:rsid w:val="00F857A8"/>
    <w:rsid w:val="00F910FB"/>
    <w:rsid w:val="00F9128E"/>
    <w:rsid w:val="00F92094"/>
    <w:rsid w:val="00FA0E83"/>
    <w:rsid w:val="00FB43BF"/>
    <w:rsid w:val="00FC65AC"/>
    <w:rsid w:val="00FD2BAD"/>
    <w:rsid w:val="00FD2D4A"/>
    <w:rsid w:val="00FE6B9D"/>
    <w:rsid w:val="00FF2308"/>
    <w:rsid w:val="00FF3119"/>
    <w:rsid w:val="00FF5A5B"/>
    <w:rsid w:val="00FF71A8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EndnoteText">
    <w:name w:val="endnote text"/>
    <w:basedOn w:val="Normal"/>
    <w:link w:val="EndnoteTextChar"/>
    <w:rsid w:val="008A45EB"/>
  </w:style>
  <w:style w:type="character" w:customStyle="1" w:styleId="EndnoteTextChar">
    <w:name w:val="Endnote Text Char"/>
    <w:basedOn w:val="DefaultParagraphFont"/>
    <w:link w:val="EndnoteText"/>
    <w:rsid w:val="008A45EB"/>
    <w:rPr>
      <w:lang w:val="en-GB" w:eastAsia="en-US"/>
    </w:rPr>
  </w:style>
  <w:style w:type="character" w:styleId="EndnoteReference">
    <w:name w:val="endnote reference"/>
    <w:basedOn w:val="DefaultParagraphFont"/>
    <w:rsid w:val="008A45EB"/>
    <w:rPr>
      <w:vertAlign w:val="superscript"/>
    </w:rPr>
  </w:style>
  <w:style w:type="paragraph" w:styleId="Revision">
    <w:name w:val="Revision"/>
    <w:hidden/>
    <w:uiPriority w:val="99"/>
    <w:semiHidden/>
    <w:rsid w:val="00354248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A54F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10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0DCA"/>
    <w:rPr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6C0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36C0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pub/R-REP-M.2516-2022" TargetMode="External"/><Relationship Id="rId18" Type="http://schemas.openxmlformats.org/officeDocument/2006/relationships/hyperlink" Target="https://www.itu.int/md/meetingdoc.asp?lang=en&amp;parent=R23-WP5D-C-024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60/recommendation.asp?lang=en&amp;parent=R-REC-M.2160-0-202311-I" TargetMode="External"/><Relationship Id="rId17" Type="http://schemas.openxmlformats.org/officeDocument/2006/relationships/hyperlink" Target="https://www.itu.int/md/meetingdoc.asp?lang=en&amp;parent=R23-WP5D-C-024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pub/R-REP-M.2411-201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tu.int/en/ITU-R/study-groups/rsg5/rwp5d/imt-203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pub/R-REP-M.2412-2017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pub/R-REP-M.2410-20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972E0C-3F2A-45D4-99B0-0A3FB5EE15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1222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6</cp:revision>
  <cp:lastPrinted>2001-04-23T09:30:00Z</cp:lastPrinted>
  <dcterms:created xsi:type="dcterms:W3CDTF">2024-08-29T15:15:00Z</dcterms:created>
  <dcterms:modified xsi:type="dcterms:W3CDTF">2024-08-30T13:23:00Z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1724718965</vt:lpwstr>
  </property>
  <property fmtid="{D5CDD505-2E9C-101B-9397-08002B2CF9AE}" pid="10" name="_2015_ms_pID_7253432">
    <vt:lpwstr>Vw==</vt:lpwstr>
  </property>
</Properties>
</file>